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2EC8" w:rsidRDefault="00EA2EC8"/>
    <w:tbl>
      <w:tblPr>
        <w:tblW w:w="5000" w:type="pct"/>
        <w:tblCellMar>
          <w:left w:w="70" w:type="dxa"/>
          <w:right w:w="70" w:type="dxa"/>
        </w:tblCellMar>
        <w:tblLook w:val="04A0" w:firstRow="1" w:lastRow="0" w:firstColumn="1" w:lastColumn="0" w:noHBand="0" w:noVBand="1"/>
      </w:tblPr>
      <w:tblGrid>
        <w:gridCol w:w="2697"/>
        <w:gridCol w:w="3423"/>
        <w:gridCol w:w="4670"/>
      </w:tblGrid>
      <w:tr w:rsidR="00687AF6" w:rsidRPr="006D7424" w:rsidTr="00492C0A">
        <w:trPr>
          <w:trHeight w:val="420"/>
        </w:trPr>
        <w:tc>
          <w:tcPr>
            <w:tcW w:w="1250" w:type="pct"/>
            <w:vMerge w:val="restart"/>
            <w:tcBorders>
              <w:top w:val="single" w:sz="4" w:space="0" w:color="auto"/>
              <w:left w:val="single" w:sz="4" w:space="0" w:color="auto"/>
              <w:bottom w:val="single" w:sz="12" w:space="0" w:color="16365C"/>
              <w:right w:val="nil"/>
            </w:tcBorders>
            <w:shd w:val="clear" w:color="auto" w:fill="auto"/>
            <w:noWrap/>
            <w:vAlign w:val="center"/>
            <w:hideMark/>
          </w:tcPr>
          <w:p w:rsidR="00687AF6" w:rsidRPr="006D7424" w:rsidRDefault="00687AF6" w:rsidP="00492C0A">
            <w:pPr>
              <w:spacing w:after="0" w:line="240" w:lineRule="auto"/>
              <w:jc w:val="center"/>
              <w:rPr>
                <w:rFonts w:ascii="Century Gothic" w:eastAsia="Times New Roman" w:hAnsi="Century Gothic" w:cs="Calibri"/>
                <w:color w:val="000000"/>
                <w:sz w:val="24"/>
                <w:szCs w:val="24"/>
              </w:rPr>
            </w:pPr>
            <w:bookmarkStart w:id="0" w:name="_Hlk86135304"/>
            <w:r w:rsidRPr="006D7424">
              <w:rPr>
                <w:rFonts w:ascii="Century Gothic" w:eastAsia="Times New Roman" w:hAnsi="Century Gothic" w:cs="Calibri"/>
                <w:noProof/>
                <w:color w:val="000000"/>
                <w:sz w:val="24"/>
                <w:szCs w:val="24"/>
              </w:rPr>
              <w:drawing>
                <wp:anchor distT="0" distB="0" distL="114300" distR="114300" simplePos="0" relativeHeight="251659264" behindDoc="0" locked="0" layoutInCell="1" allowOverlap="1" wp14:anchorId="200DEA8F" wp14:editId="50EC2380">
                  <wp:simplePos x="0" y="0"/>
                  <wp:positionH relativeFrom="column">
                    <wp:posOffset>143510</wp:posOffset>
                  </wp:positionH>
                  <wp:positionV relativeFrom="paragraph">
                    <wp:posOffset>4445</wp:posOffset>
                  </wp:positionV>
                  <wp:extent cx="862965" cy="929005"/>
                  <wp:effectExtent l="0" t="0" r="0" b="4445"/>
                  <wp:wrapNone/>
                  <wp:docPr id="1" name="Imagen 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 cstate="print">
                            <a:extLst>
                              <a:ext uri="{28A0092B-C50C-407E-A947-70E740481C1C}">
                                <a14:useLocalDpi xmlns:a14="http://schemas.microsoft.com/office/drawing/2010/main" val="0"/>
                              </a:ext>
                            </a:extLst>
                          </a:blip>
                          <a:srcRect t="8405" b="7549"/>
                          <a:stretch/>
                        </pic:blipFill>
                        <pic:spPr>
                          <a:xfrm>
                            <a:off x="0" y="0"/>
                            <a:ext cx="862965" cy="929005"/>
                          </a:xfrm>
                          <a:prstGeom prst="rect">
                            <a:avLst/>
                          </a:prstGeom>
                        </pic:spPr>
                      </pic:pic>
                    </a:graphicData>
                  </a:graphic>
                  <wp14:sizeRelH relativeFrom="page">
                    <wp14:pctWidth>0</wp14:pctWidth>
                  </wp14:sizeRelH>
                  <wp14:sizeRelV relativeFrom="page">
                    <wp14:pctHeight>0</wp14:pctHeight>
                  </wp14:sizeRelV>
                </wp:anchor>
              </w:drawing>
            </w:r>
          </w:p>
        </w:tc>
        <w:tc>
          <w:tcPr>
            <w:tcW w:w="3750" w:type="pct"/>
            <w:gridSpan w:val="2"/>
            <w:tcBorders>
              <w:top w:val="single" w:sz="4" w:space="0" w:color="auto"/>
              <w:left w:val="nil"/>
              <w:bottom w:val="nil"/>
              <w:right w:val="single" w:sz="4" w:space="0" w:color="auto"/>
            </w:tcBorders>
            <w:shd w:val="clear" w:color="auto" w:fill="auto"/>
            <w:noWrap/>
            <w:vAlign w:val="bottom"/>
            <w:hideMark/>
          </w:tcPr>
          <w:p w:rsidR="00687AF6" w:rsidRPr="006D7424" w:rsidRDefault="00687AF6" w:rsidP="00492C0A">
            <w:pPr>
              <w:spacing w:after="0" w:line="240" w:lineRule="auto"/>
              <w:rPr>
                <w:rFonts w:ascii="Century Gothic" w:eastAsia="Times New Roman" w:hAnsi="Century Gothic" w:cs="Calibri"/>
                <w:b/>
                <w:bCs/>
                <w:color w:val="000000"/>
                <w:sz w:val="24"/>
                <w:szCs w:val="24"/>
              </w:rPr>
            </w:pPr>
            <w:r w:rsidRPr="006D7424">
              <w:rPr>
                <w:rFonts w:ascii="Century Gothic" w:eastAsia="Times New Roman" w:hAnsi="Century Gothic" w:cs="Calibri"/>
                <w:b/>
                <w:bCs/>
                <w:color w:val="000000"/>
                <w:sz w:val="24"/>
                <w:szCs w:val="24"/>
              </w:rPr>
              <w:t>FICHA TÉCNICA DE CONSTRUCCIÓN DEL ÍTEM</w:t>
            </w:r>
          </w:p>
        </w:tc>
      </w:tr>
      <w:tr w:rsidR="00687AF6" w:rsidRPr="006D7424" w:rsidTr="00492C0A">
        <w:trPr>
          <w:trHeight w:val="570"/>
        </w:trPr>
        <w:tc>
          <w:tcPr>
            <w:tcW w:w="1250" w:type="pct"/>
            <w:vMerge/>
            <w:tcBorders>
              <w:top w:val="nil"/>
              <w:left w:val="single" w:sz="4" w:space="0" w:color="auto"/>
              <w:bottom w:val="single" w:sz="12" w:space="0" w:color="16365C"/>
              <w:right w:val="nil"/>
            </w:tcBorders>
            <w:vAlign w:val="center"/>
            <w:hideMark/>
          </w:tcPr>
          <w:p w:rsidR="00687AF6" w:rsidRPr="006D7424" w:rsidRDefault="00687AF6" w:rsidP="00492C0A">
            <w:pPr>
              <w:spacing w:after="0" w:line="240" w:lineRule="auto"/>
              <w:rPr>
                <w:rFonts w:ascii="Century Gothic" w:eastAsia="Times New Roman" w:hAnsi="Century Gothic" w:cs="Calibri"/>
                <w:color w:val="000000"/>
                <w:sz w:val="24"/>
                <w:szCs w:val="24"/>
              </w:rPr>
            </w:pPr>
          </w:p>
        </w:tc>
        <w:tc>
          <w:tcPr>
            <w:tcW w:w="1586" w:type="pct"/>
            <w:vMerge w:val="restart"/>
            <w:tcBorders>
              <w:top w:val="nil"/>
              <w:left w:val="nil"/>
              <w:bottom w:val="single" w:sz="12" w:space="0" w:color="16365C"/>
              <w:right w:val="nil"/>
            </w:tcBorders>
            <w:shd w:val="clear" w:color="auto" w:fill="auto"/>
            <w:vAlign w:val="center"/>
            <w:hideMark/>
          </w:tcPr>
          <w:p w:rsidR="00687AF6" w:rsidRPr="006D7424" w:rsidRDefault="00687AF6" w:rsidP="00492C0A">
            <w:pPr>
              <w:spacing w:after="0" w:line="240" w:lineRule="auto"/>
              <w:jc w:val="center"/>
              <w:rPr>
                <w:rFonts w:ascii="Century Gothic" w:eastAsia="Times New Roman" w:hAnsi="Century Gothic" w:cs="Calibri"/>
                <w:b/>
                <w:bCs/>
                <w:color w:val="000000"/>
                <w:sz w:val="24"/>
                <w:szCs w:val="24"/>
              </w:rPr>
            </w:pPr>
          </w:p>
        </w:tc>
        <w:tc>
          <w:tcPr>
            <w:tcW w:w="2164" w:type="pct"/>
            <w:vMerge w:val="restart"/>
            <w:tcBorders>
              <w:top w:val="nil"/>
              <w:left w:val="nil"/>
              <w:bottom w:val="single" w:sz="12" w:space="0" w:color="16365C"/>
              <w:right w:val="single" w:sz="4" w:space="0" w:color="auto"/>
            </w:tcBorders>
            <w:shd w:val="clear" w:color="auto" w:fill="auto"/>
            <w:vAlign w:val="center"/>
            <w:hideMark/>
          </w:tcPr>
          <w:p w:rsidR="00687AF6" w:rsidRPr="006D7424" w:rsidRDefault="00687AF6" w:rsidP="00492C0A">
            <w:pPr>
              <w:spacing w:after="0" w:line="240" w:lineRule="auto"/>
              <w:rPr>
                <w:rFonts w:ascii="Century Gothic" w:eastAsia="Times New Roman" w:hAnsi="Century Gothic" w:cs="Calibri"/>
                <w:b/>
                <w:bCs/>
                <w:color w:val="1A0A94"/>
                <w:sz w:val="24"/>
                <w:szCs w:val="24"/>
              </w:rPr>
            </w:pPr>
            <w:r w:rsidRPr="0084118F">
              <w:rPr>
                <w:rFonts w:ascii="Century Gothic" w:eastAsia="Times New Roman" w:hAnsi="Century Gothic" w:cs="Calibri"/>
                <w:b/>
                <w:bCs/>
                <w:sz w:val="24"/>
                <w:szCs w:val="24"/>
              </w:rPr>
              <w:t>No. Ítem</w:t>
            </w:r>
            <w:r w:rsidRPr="0084118F">
              <w:rPr>
                <w:rFonts w:ascii="Century Gothic" w:eastAsia="Times New Roman" w:hAnsi="Century Gothic" w:cs="Calibri"/>
                <w:bCs/>
                <w:sz w:val="24"/>
                <w:szCs w:val="24"/>
              </w:rPr>
              <w:t>:</w:t>
            </w:r>
            <w:r>
              <w:rPr>
                <w:rFonts w:ascii="Century Gothic" w:eastAsia="Times New Roman" w:hAnsi="Century Gothic" w:cs="Calibri"/>
                <w:b/>
                <w:bCs/>
                <w:color w:val="1A0A94"/>
                <w:sz w:val="24"/>
                <w:szCs w:val="24"/>
              </w:rPr>
              <w:t xml:space="preserve"> 1</w:t>
            </w:r>
          </w:p>
        </w:tc>
      </w:tr>
      <w:tr w:rsidR="00687AF6" w:rsidRPr="006D7424" w:rsidTr="00492C0A">
        <w:trPr>
          <w:trHeight w:val="450"/>
        </w:trPr>
        <w:tc>
          <w:tcPr>
            <w:tcW w:w="1250" w:type="pct"/>
            <w:vMerge/>
            <w:tcBorders>
              <w:top w:val="nil"/>
              <w:left w:val="single" w:sz="4" w:space="0" w:color="auto"/>
              <w:bottom w:val="single" w:sz="12" w:space="0" w:color="16365C"/>
              <w:right w:val="nil"/>
            </w:tcBorders>
            <w:vAlign w:val="center"/>
            <w:hideMark/>
          </w:tcPr>
          <w:p w:rsidR="00687AF6" w:rsidRPr="006D7424" w:rsidRDefault="00687AF6" w:rsidP="00492C0A">
            <w:pPr>
              <w:spacing w:after="0" w:line="240" w:lineRule="auto"/>
              <w:rPr>
                <w:rFonts w:ascii="Century Gothic" w:eastAsia="Times New Roman" w:hAnsi="Century Gothic" w:cs="Calibri"/>
                <w:color w:val="000000"/>
                <w:sz w:val="24"/>
                <w:szCs w:val="24"/>
              </w:rPr>
            </w:pPr>
          </w:p>
        </w:tc>
        <w:tc>
          <w:tcPr>
            <w:tcW w:w="1586" w:type="pct"/>
            <w:vMerge/>
            <w:tcBorders>
              <w:top w:val="nil"/>
              <w:left w:val="nil"/>
              <w:bottom w:val="single" w:sz="12" w:space="0" w:color="16365C"/>
              <w:right w:val="nil"/>
            </w:tcBorders>
            <w:vAlign w:val="center"/>
            <w:hideMark/>
          </w:tcPr>
          <w:p w:rsidR="00687AF6" w:rsidRPr="006D7424" w:rsidRDefault="00687AF6" w:rsidP="00492C0A">
            <w:pPr>
              <w:spacing w:after="0" w:line="240" w:lineRule="auto"/>
              <w:rPr>
                <w:rFonts w:ascii="Century Gothic" w:eastAsia="Times New Roman" w:hAnsi="Century Gothic" w:cs="Calibri"/>
                <w:b/>
                <w:bCs/>
                <w:color w:val="000000"/>
                <w:sz w:val="24"/>
                <w:szCs w:val="24"/>
              </w:rPr>
            </w:pPr>
          </w:p>
        </w:tc>
        <w:tc>
          <w:tcPr>
            <w:tcW w:w="2164" w:type="pct"/>
            <w:vMerge/>
            <w:tcBorders>
              <w:top w:val="nil"/>
              <w:left w:val="nil"/>
              <w:bottom w:val="single" w:sz="12" w:space="0" w:color="16365C"/>
              <w:right w:val="single" w:sz="4" w:space="0" w:color="auto"/>
            </w:tcBorders>
            <w:vAlign w:val="center"/>
            <w:hideMark/>
          </w:tcPr>
          <w:p w:rsidR="00687AF6" w:rsidRPr="006D7424" w:rsidRDefault="00687AF6" w:rsidP="00492C0A">
            <w:pPr>
              <w:spacing w:after="0" w:line="240" w:lineRule="auto"/>
              <w:rPr>
                <w:rFonts w:ascii="Century Gothic" w:eastAsia="Times New Roman" w:hAnsi="Century Gothic" w:cs="Calibri"/>
                <w:b/>
                <w:bCs/>
                <w:color w:val="1A0A94"/>
                <w:sz w:val="24"/>
                <w:szCs w:val="24"/>
              </w:rPr>
            </w:pPr>
          </w:p>
        </w:tc>
      </w:tr>
      <w:tr w:rsidR="00687AF6" w:rsidRPr="006D7424" w:rsidTr="00492C0A">
        <w:trPr>
          <w:trHeight w:val="450"/>
        </w:trPr>
        <w:tc>
          <w:tcPr>
            <w:tcW w:w="1250" w:type="pct"/>
            <w:vMerge/>
            <w:tcBorders>
              <w:top w:val="nil"/>
              <w:left w:val="single" w:sz="4" w:space="0" w:color="auto"/>
              <w:bottom w:val="single" w:sz="12" w:space="0" w:color="16365C"/>
              <w:right w:val="nil"/>
            </w:tcBorders>
            <w:vAlign w:val="center"/>
            <w:hideMark/>
          </w:tcPr>
          <w:p w:rsidR="00687AF6" w:rsidRPr="006D7424" w:rsidRDefault="00687AF6" w:rsidP="00492C0A">
            <w:pPr>
              <w:spacing w:after="0" w:line="240" w:lineRule="auto"/>
              <w:rPr>
                <w:rFonts w:ascii="Century Gothic" w:eastAsia="Times New Roman" w:hAnsi="Century Gothic" w:cs="Calibri"/>
                <w:color w:val="000000"/>
                <w:sz w:val="24"/>
                <w:szCs w:val="24"/>
              </w:rPr>
            </w:pPr>
          </w:p>
        </w:tc>
        <w:tc>
          <w:tcPr>
            <w:tcW w:w="1586" w:type="pct"/>
            <w:vMerge/>
            <w:tcBorders>
              <w:top w:val="nil"/>
              <w:left w:val="nil"/>
              <w:bottom w:val="single" w:sz="12" w:space="0" w:color="16365C"/>
              <w:right w:val="nil"/>
            </w:tcBorders>
            <w:vAlign w:val="center"/>
            <w:hideMark/>
          </w:tcPr>
          <w:p w:rsidR="00687AF6" w:rsidRPr="006D7424" w:rsidRDefault="00687AF6" w:rsidP="00492C0A">
            <w:pPr>
              <w:spacing w:after="0" w:line="240" w:lineRule="auto"/>
              <w:rPr>
                <w:rFonts w:ascii="Century Gothic" w:eastAsia="Times New Roman" w:hAnsi="Century Gothic" w:cs="Calibri"/>
                <w:b/>
                <w:bCs/>
                <w:color w:val="000000"/>
                <w:sz w:val="24"/>
                <w:szCs w:val="24"/>
              </w:rPr>
            </w:pPr>
          </w:p>
        </w:tc>
        <w:tc>
          <w:tcPr>
            <w:tcW w:w="2164" w:type="pct"/>
            <w:vMerge/>
            <w:tcBorders>
              <w:top w:val="nil"/>
              <w:left w:val="nil"/>
              <w:bottom w:val="single" w:sz="12" w:space="0" w:color="16365C"/>
              <w:right w:val="single" w:sz="4" w:space="0" w:color="auto"/>
            </w:tcBorders>
            <w:vAlign w:val="center"/>
            <w:hideMark/>
          </w:tcPr>
          <w:p w:rsidR="00687AF6" w:rsidRPr="006D7424" w:rsidRDefault="00687AF6" w:rsidP="00492C0A">
            <w:pPr>
              <w:spacing w:after="0" w:line="240" w:lineRule="auto"/>
              <w:rPr>
                <w:rFonts w:ascii="Century Gothic" w:eastAsia="Times New Roman" w:hAnsi="Century Gothic" w:cs="Calibri"/>
                <w:b/>
                <w:bCs/>
                <w:color w:val="1A0A94"/>
                <w:sz w:val="24"/>
                <w:szCs w:val="24"/>
              </w:rPr>
            </w:pPr>
          </w:p>
        </w:tc>
      </w:tr>
      <w:tr w:rsidR="00687AF6" w:rsidRPr="006D7424" w:rsidTr="00492C0A">
        <w:trPr>
          <w:trHeight w:val="345"/>
        </w:trPr>
        <w:tc>
          <w:tcPr>
            <w:tcW w:w="2836" w:type="pct"/>
            <w:gridSpan w:val="2"/>
            <w:tcBorders>
              <w:top w:val="nil"/>
              <w:left w:val="single" w:sz="4" w:space="0" w:color="auto"/>
              <w:bottom w:val="single" w:sz="4" w:space="0" w:color="auto"/>
              <w:right w:val="single" w:sz="4" w:space="0" w:color="auto"/>
            </w:tcBorders>
            <w:shd w:val="clear" w:color="auto" w:fill="auto"/>
            <w:noWrap/>
            <w:vAlign w:val="bottom"/>
            <w:hideMark/>
          </w:tcPr>
          <w:p w:rsidR="00687AF6" w:rsidRPr="006D7424" w:rsidRDefault="00687AF6" w:rsidP="00492C0A">
            <w:pPr>
              <w:spacing w:after="0" w:line="240" w:lineRule="auto"/>
              <w:jc w:val="center"/>
              <w:rPr>
                <w:rFonts w:ascii="Century Gothic" w:eastAsia="Times New Roman" w:hAnsi="Century Gothic" w:cs="Calibri"/>
                <w:b/>
                <w:bCs/>
                <w:color w:val="000000"/>
                <w:sz w:val="24"/>
                <w:szCs w:val="24"/>
              </w:rPr>
            </w:pPr>
            <w:r w:rsidRPr="006D7424">
              <w:rPr>
                <w:rFonts w:ascii="Century Gothic" w:eastAsia="Times New Roman" w:hAnsi="Century Gothic" w:cs="Calibri"/>
                <w:b/>
                <w:bCs/>
                <w:color w:val="000000"/>
                <w:sz w:val="24"/>
                <w:szCs w:val="24"/>
              </w:rPr>
              <w:t>DATOS DEL ÍTEM</w:t>
            </w:r>
          </w:p>
        </w:tc>
        <w:tc>
          <w:tcPr>
            <w:tcW w:w="2164" w:type="pct"/>
            <w:tcBorders>
              <w:top w:val="nil"/>
              <w:left w:val="nil"/>
              <w:bottom w:val="single" w:sz="4" w:space="0" w:color="auto"/>
              <w:right w:val="single" w:sz="4" w:space="0" w:color="auto"/>
            </w:tcBorders>
            <w:shd w:val="clear" w:color="auto" w:fill="auto"/>
            <w:noWrap/>
            <w:vAlign w:val="bottom"/>
            <w:hideMark/>
          </w:tcPr>
          <w:p w:rsidR="00687AF6" w:rsidRPr="006D7424" w:rsidRDefault="00687AF6" w:rsidP="00492C0A">
            <w:pPr>
              <w:spacing w:after="0" w:line="240" w:lineRule="auto"/>
              <w:jc w:val="center"/>
              <w:rPr>
                <w:rFonts w:ascii="Century Gothic" w:eastAsia="Times New Roman" w:hAnsi="Century Gothic" w:cs="Calibri"/>
                <w:b/>
                <w:bCs/>
                <w:color w:val="000000"/>
                <w:sz w:val="24"/>
                <w:szCs w:val="24"/>
              </w:rPr>
            </w:pPr>
            <w:r w:rsidRPr="006D7424">
              <w:rPr>
                <w:rFonts w:ascii="Century Gothic" w:eastAsia="Times New Roman" w:hAnsi="Century Gothic" w:cs="Calibri"/>
                <w:b/>
                <w:bCs/>
                <w:color w:val="000000"/>
                <w:sz w:val="24"/>
                <w:szCs w:val="24"/>
              </w:rPr>
              <w:t>DATOS DEL AUTOR</w:t>
            </w:r>
          </w:p>
        </w:tc>
      </w:tr>
      <w:tr w:rsidR="00687AF6" w:rsidRPr="006D7424" w:rsidTr="00492C0A">
        <w:trPr>
          <w:trHeight w:val="763"/>
        </w:trPr>
        <w:tc>
          <w:tcPr>
            <w:tcW w:w="2836" w:type="pct"/>
            <w:gridSpan w:val="2"/>
            <w:tcBorders>
              <w:top w:val="single" w:sz="4" w:space="0" w:color="auto"/>
              <w:left w:val="single" w:sz="4" w:space="0" w:color="auto"/>
              <w:bottom w:val="single" w:sz="4" w:space="0" w:color="auto"/>
              <w:right w:val="single" w:sz="4" w:space="0" w:color="auto"/>
            </w:tcBorders>
            <w:shd w:val="clear" w:color="auto" w:fill="auto"/>
            <w:hideMark/>
          </w:tcPr>
          <w:p w:rsidR="00687AF6" w:rsidRPr="006D7424" w:rsidRDefault="00687AF6" w:rsidP="00492C0A">
            <w:pPr>
              <w:spacing w:after="0" w:line="240" w:lineRule="auto"/>
              <w:jc w:val="both"/>
              <w:rPr>
                <w:rFonts w:ascii="Century Gothic" w:eastAsia="Times New Roman" w:hAnsi="Century Gothic" w:cs="Calibri"/>
                <w:b/>
                <w:bCs/>
                <w:color w:val="7030A0"/>
                <w:sz w:val="24"/>
                <w:szCs w:val="24"/>
              </w:rPr>
            </w:pPr>
            <w:r w:rsidRPr="006D7424">
              <w:rPr>
                <w:rFonts w:ascii="Century Gothic" w:eastAsia="Times New Roman" w:hAnsi="Century Gothic" w:cs="Calibri"/>
                <w:b/>
                <w:bCs/>
                <w:color w:val="000000"/>
                <w:sz w:val="24"/>
                <w:szCs w:val="24"/>
              </w:rPr>
              <w:t>Programa académico</w:t>
            </w:r>
            <w:r w:rsidRPr="006D7424">
              <w:rPr>
                <w:rFonts w:ascii="Century Gothic" w:eastAsia="Times New Roman" w:hAnsi="Century Gothic" w:cs="Calibri"/>
                <w:bCs/>
                <w:color w:val="000000"/>
                <w:sz w:val="24"/>
                <w:szCs w:val="24"/>
              </w:rPr>
              <w:t>:</w:t>
            </w:r>
            <w:r>
              <w:rPr>
                <w:rFonts w:ascii="Century Gothic" w:eastAsia="Times New Roman" w:hAnsi="Century Gothic" w:cs="Calibri"/>
                <w:bCs/>
                <w:color w:val="000000"/>
                <w:sz w:val="24"/>
                <w:szCs w:val="24"/>
              </w:rPr>
              <w:t xml:space="preserve"> </w:t>
            </w:r>
            <w:r>
              <w:rPr>
                <w:rFonts w:ascii="Century Gothic" w:eastAsia="Times New Roman" w:hAnsi="Century Gothic" w:cs="Calibri"/>
                <w:bCs/>
                <w:color w:val="000000"/>
                <w:sz w:val="24"/>
                <w:szCs w:val="24"/>
              </w:rPr>
              <w:t>Maestría en Administración de Empresas MBA</w:t>
            </w:r>
          </w:p>
        </w:tc>
        <w:tc>
          <w:tcPr>
            <w:tcW w:w="2164" w:type="pct"/>
            <w:tcBorders>
              <w:top w:val="single" w:sz="4" w:space="0" w:color="auto"/>
              <w:left w:val="nil"/>
              <w:bottom w:val="single" w:sz="4" w:space="0" w:color="auto"/>
              <w:right w:val="single" w:sz="4" w:space="0" w:color="auto"/>
            </w:tcBorders>
            <w:shd w:val="clear" w:color="auto" w:fill="auto"/>
          </w:tcPr>
          <w:p w:rsidR="00687AF6" w:rsidRPr="006D7424" w:rsidRDefault="00687AF6" w:rsidP="00492C0A">
            <w:pPr>
              <w:spacing w:after="0" w:line="240" w:lineRule="auto"/>
              <w:rPr>
                <w:rFonts w:ascii="Century Gothic" w:eastAsia="Times New Roman" w:hAnsi="Century Gothic" w:cs="Calibri"/>
                <w:b/>
                <w:bCs/>
                <w:color w:val="000000"/>
                <w:sz w:val="24"/>
                <w:szCs w:val="24"/>
              </w:rPr>
            </w:pPr>
          </w:p>
        </w:tc>
      </w:tr>
      <w:tr w:rsidR="00687AF6" w:rsidRPr="006D7424" w:rsidTr="00492C0A">
        <w:trPr>
          <w:trHeight w:val="1129"/>
        </w:trPr>
        <w:tc>
          <w:tcPr>
            <w:tcW w:w="2836" w:type="pct"/>
            <w:gridSpan w:val="2"/>
            <w:vMerge w:val="restart"/>
            <w:tcBorders>
              <w:top w:val="single" w:sz="4" w:space="0" w:color="auto"/>
              <w:left w:val="single" w:sz="4" w:space="0" w:color="auto"/>
              <w:right w:val="single" w:sz="4" w:space="0" w:color="auto"/>
            </w:tcBorders>
            <w:shd w:val="clear" w:color="auto" w:fill="auto"/>
            <w:hideMark/>
          </w:tcPr>
          <w:p w:rsidR="00687AF6" w:rsidRPr="006D7424" w:rsidRDefault="00687AF6" w:rsidP="00492C0A">
            <w:pPr>
              <w:spacing w:after="0" w:line="240" w:lineRule="auto"/>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Prueba</w:t>
            </w:r>
            <w:r w:rsidRPr="006D7424">
              <w:rPr>
                <w:rFonts w:ascii="Century Gothic" w:eastAsia="Times New Roman" w:hAnsi="Century Gothic" w:cs="Calibri"/>
                <w:bCs/>
                <w:color w:val="000000"/>
                <w:sz w:val="24"/>
                <w:szCs w:val="24"/>
              </w:rPr>
              <w:t>:</w:t>
            </w:r>
            <w:r>
              <w:rPr>
                <w:rFonts w:ascii="Century Gothic" w:eastAsia="Times New Roman" w:hAnsi="Century Gothic" w:cs="Calibri"/>
                <w:bCs/>
                <w:color w:val="000000"/>
                <w:sz w:val="24"/>
                <w:szCs w:val="24"/>
              </w:rPr>
              <w:t xml:space="preserve"> </w:t>
            </w:r>
            <w:r>
              <w:rPr>
                <w:rFonts w:ascii="Century Gothic" w:eastAsia="Times New Roman" w:hAnsi="Century Gothic" w:cs="Calibri"/>
                <w:bCs/>
                <w:color w:val="000000"/>
                <w:sz w:val="24"/>
                <w:szCs w:val="24"/>
              </w:rPr>
              <w:t>Simulación y Toma de Decisiones Gerenciales</w:t>
            </w:r>
          </w:p>
        </w:tc>
        <w:tc>
          <w:tcPr>
            <w:tcW w:w="2164" w:type="pct"/>
            <w:tcBorders>
              <w:top w:val="single" w:sz="4" w:space="0" w:color="auto"/>
              <w:left w:val="nil"/>
              <w:bottom w:val="single" w:sz="4" w:space="0" w:color="auto"/>
              <w:right w:val="single" w:sz="4" w:space="0" w:color="auto"/>
            </w:tcBorders>
            <w:shd w:val="clear" w:color="auto" w:fill="auto"/>
          </w:tcPr>
          <w:p w:rsidR="00687AF6" w:rsidRPr="006D7424" w:rsidRDefault="00687AF6" w:rsidP="00492C0A">
            <w:pPr>
              <w:spacing w:after="0" w:line="240" w:lineRule="auto"/>
              <w:rPr>
                <w:rFonts w:ascii="Century Gothic" w:eastAsia="Times New Roman" w:hAnsi="Century Gothic" w:cs="Calibri"/>
                <w:color w:val="000000"/>
                <w:sz w:val="24"/>
                <w:szCs w:val="24"/>
              </w:rPr>
            </w:pPr>
          </w:p>
        </w:tc>
      </w:tr>
      <w:tr w:rsidR="00687AF6" w:rsidRPr="006D7424" w:rsidTr="00492C0A">
        <w:trPr>
          <w:trHeight w:val="827"/>
        </w:trPr>
        <w:tc>
          <w:tcPr>
            <w:tcW w:w="2836" w:type="pct"/>
            <w:gridSpan w:val="2"/>
            <w:vMerge/>
            <w:tcBorders>
              <w:left w:val="single" w:sz="4" w:space="0" w:color="auto"/>
              <w:right w:val="single" w:sz="4" w:space="0" w:color="auto"/>
            </w:tcBorders>
            <w:vAlign w:val="center"/>
            <w:hideMark/>
          </w:tcPr>
          <w:p w:rsidR="00687AF6" w:rsidRPr="006D7424" w:rsidRDefault="00687AF6" w:rsidP="00492C0A">
            <w:pPr>
              <w:spacing w:after="0" w:line="240" w:lineRule="auto"/>
              <w:rPr>
                <w:rFonts w:ascii="Century Gothic" w:eastAsia="Times New Roman" w:hAnsi="Century Gothic" w:cs="Calibri"/>
                <w:b/>
                <w:bCs/>
                <w:color w:val="000000"/>
                <w:sz w:val="24"/>
                <w:szCs w:val="24"/>
              </w:rPr>
            </w:pPr>
          </w:p>
        </w:tc>
        <w:tc>
          <w:tcPr>
            <w:tcW w:w="2164" w:type="pct"/>
            <w:tcBorders>
              <w:top w:val="single" w:sz="4" w:space="0" w:color="auto"/>
              <w:left w:val="nil"/>
              <w:bottom w:val="single" w:sz="12" w:space="0" w:color="1A0A94"/>
              <w:right w:val="single" w:sz="4" w:space="0" w:color="auto"/>
            </w:tcBorders>
            <w:shd w:val="clear" w:color="auto" w:fill="auto"/>
          </w:tcPr>
          <w:p w:rsidR="00687AF6" w:rsidRPr="005138D5" w:rsidRDefault="00687AF6" w:rsidP="00492C0A">
            <w:pPr>
              <w:spacing w:after="0" w:line="240" w:lineRule="auto"/>
              <w:rPr>
                <w:rFonts w:ascii="Century Gothic" w:eastAsia="Times New Roman" w:hAnsi="Century Gothic" w:cs="Calibri"/>
                <w:bCs/>
                <w:color w:val="000000"/>
                <w:sz w:val="24"/>
                <w:szCs w:val="24"/>
              </w:rPr>
            </w:pPr>
          </w:p>
        </w:tc>
      </w:tr>
      <w:tr w:rsidR="00687AF6" w:rsidRPr="006D7424" w:rsidTr="00492C0A">
        <w:trPr>
          <w:trHeight w:val="827"/>
        </w:trPr>
        <w:tc>
          <w:tcPr>
            <w:tcW w:w="2836" w:type="pct"/>
            <w:gridSpan w:val="2"/>
            <w:vMerge/>
            <w:tcBorders>
              <w:left w:val="single" w:sz="4" w:space="0" w:color="auto"/>
              <w:bottom w:val="single" w:sz="12" w:space="0" w:color="1A0A94"/>
              <w:right w:val="single" w:sz="4" w:space="0" w:color="auto"/>
            </w:tcBorders>
            <w:vAlign w:val="center"/>
          </w:tcPr>
          <w:p w:rsidR="00687AF6" w:rsidRPr="006D7424" w:rsidRDefault="00687AF6" w:rsidP="00492C0A">
            <w:pPr>
              <w:spacing w:after="0" w:line="240" w:lineRule="auto"/>
              <w:rPr>
                <w:rFonts w:ascii="Century Gothic" w:eastAsia="Times New Roman" w:hAnsi="Century Gothic" w:cs="Calibri"/>
                <w:b/>
                <w:bCs/>
                <w:color w:val="000000"/>
                <w:sz w:val="24"/>
                <w:szCs w:val="24"/>
              </w:rPr>
            </w:pPr>
          </w:p>
        </w:tc>
        <w:tc>
          <w:tcPr>
            <w:tcW w:w="2164" w:type="pct"/>
            <w:tcBorders>
              <w:top w:val="single" w:sz="4" w:space="0" w:color="auto"/>
              <w:left w:val="nil"/>
              <w:bottom w:val="single" w:sz="12" w:space="0" w:color="1A0A94"/>
              <w:right w:val="single" w:sz="4" w:space="0" w:color="auto"/>
            </w:tcBorders>
            <w:shd w:val="clear" w:color="auto" w:fill="auto"/>
          </w:tcPr>
          <w:p w:rsidR="00687AF6" w:rsidRPr="006D7424" w:rsidRDefault="00687AF6" w:rsidP="00492C0A">
            <w:pPr>
              <w:spacing w:after="0" w:line="240" w:lineRule="auto"/>
              <w:rPr>
                <w:rFonts w:ascii="Century Gothic" w:eastAsia="Times New Roman" w:hAnsi="Century Gothic" w:cs="Calibri"/>
                <w:b/>
                <w:bCs/>
                <w:color w:val="000000"/>
                <w:sz w:val="24"/>
                <w:szCs w:val="24"/>
              </w:rPr>
            </w:pPr>
          </w:p>
        </w:tc>
      </w:tr>
      <w:tr w:rsidR="00687AF6" w:rsidRPr="006D7424" w:rsidTr="00492C0A">
        <w:trPr>
          <w:trHeight w:val="300"/>
        </w:trPr>
        <w:tc>
          <w:tcPr>
            <w:tcW w:w="5000" w:type="pct"/>
            <w:gridSpan w:val="3"/>
            <w:tcBorders>
              <w:top w:val="single" w:sz="12" w:space="0" w:color="1A0A94"/>
              <w:left w:val="single" w:sz="4" w:space="0" w:color="auto"/>
              <w:bottom w:val="nil"/>
              <w:right w:val="single" w:sz="4" w:space="0" w:color="auto"/>
            </w:tcBorders>
            <w:shd w:val="clear" w:color="auto" w:fill="auto"/>
            <w:noWrap/>
            <w:hideMark/>
          </w:tcPr>
          <w:p w:rsidR="00687AF6" w:rsidRPr="006D7424" w:rsidRDefault="00687AF6" w:rsidP="00492C0A">
            <w:pPr>
              <w:spacing w:after="0" w:line="240" w:lineRule="auto"/>
              <w:jc w:val="both"/>
              <w:rPr>
                <w:rFonts w:ascii="Century Gothic" w:eastAsia="Times New Roman" w:hAnsi="Century Gothic" w:cs="Calibri"/>
                <w:b/>
                <w:bCs/>
                <w:color w:val="000000"/>
                <w:sz w:val="24"/>
                <w:szCs w:val="24"/>
              </w:rPr>
            </w:pPr>
            <w:r w:rsidRPr="006D7424">
              <w:rPr>
                <w:rFonts w:ascii="Century Gothic" w:eastAsia="Times New Roman" w:hAnsi="Century Gothic" w:cs="Calibri"/>
                <w:b/>
                <w:bCs/>
                <w:color w:val="000000"/>
                <w:sz w:val="24"/>
                <w:szCs w:val="24"/>
              </w:rPr>
              <w:t>ÍTEM: COMPETENCIA ESPECÍFICA, CONTEXTO, ENUNCIADO Y OPCIONES DE RESPUESTA</w:t>
            </w:r>
          </w:p>
        </w:tc>
      </w:tr>
      <w:tr w:rsidR="00687AF6" w:rsidRPr="006D7424" w:rsidTr="00492C0A">
        <w:trPr>
          <w:trHeight w:val="56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687AF6" w:rsidRDefault="00687AF6" w:rsidP="00492C0A">
            <w:pPr>
              <w:spacing w:after="0" w:line="240" w:lineRule="auto"/>
              <w:jc w:val="both"/>
              <w:rPr>
                <w:rFonts w:ascii="Century Gothic" w:eastAsia="Times New Roman" w:hAnsi="Century Gothic" w:cs="Calibri"/>
                <w:b/>
                <w:bCs/>
                <w:color w:val="000000"/>
                <w:sz w:val="24"/>
                <w:szCs w:val="24"/>
              </w:rPr>
            </w:pPr>
            <w:r w:rsidRPr="006D7424">
              <w:rPr>
                <w:rFonts w:ascii="Century Gothic" w:eastAsia="Times New Roman" w:hAnsi="Century Gothic" w:cs="Calibri"/>
                <w:b/>
                <w:bCs/>
                <w:color w:val="000000"/>
                <w:sz w:val="24"/>
                <w:szCs w:val="24"/>
              </w:rPr>
              <w:t>Competencia espec</w:t>
            </w:r>
            <w:r>
              <w:rPr>
                <w:rFonts w:ascii="Century Gothic" w:eastAsia="Times New Roman" w:hAnsi="Century Gothic" w:cs="Calibri"/>
                <w:b/>
                <w:bCs/>
                <w:color w:val="000000"/>
                <w:sz w:val="24"/>
                <w:szCs w:val="24"/>
              </w:rPr>
              <w:t>ífica señalada en el syllabus, que evalúa este ítem:</w:t>
            </w:r>
          </w:p>
          <w:p w:rsidR="00687AF6" w:rsidRPr="00687AF6" w:rsidRDefault="00687AF6" w:rsidP="00492C0A">
            <w:pPr>
              <w:spacing w:after="0" w:line="240" w:lineRule="auto"/>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Identifica de manera contextualizada la información general del entorno simulado, y configura elementos sólidos para el mejoramiento organizacional.</w:t>
            </w:r>
          </w:p>
        </w:tc>
      </w:tr>
      <w:tr w:rsidR="00687AF6" w:rsidRPr="006D7424" w:rsidTr="00492C0A">
        <w:trPr>
          <w:trHeight w:val="70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687AF6" w:rsidRDefault="00687AF6" w:rsidP="00492C0A">
            <w:pPr>
              <w:spacing w:after="0" w:line="240" w:lineRule="auto"/>
              <w:jc w:val="both"/>
              <w:rPr>
                <w:rFonts w:ascii="Century Gothic" w:eastAsia="Times New Roman" w:hAnsi="Century Gothic" w:cs="Calibri"/>
                <w:bCs/>
                <w:color w:val="000000"/>
                <w:sz w:val="24"/>
                <w:szCs w:val="24"/>
              </w:rPr>
            </w:pPr>
            <w:r w:rsidRPr="006D7424">
              <w:rPr>
                <w:rFonts w:ascii="Century Gothic" w:eastAsia="Times New Roman" w:hAnsi="Century Gothic" w:cs="Calibri"/>
                <w:b/>
                <w:bCs/>
                <w:color w:val="000000"/>
                <w:sz w:val="24"/>
                <w:szCs w:val="24"/>
              </w:rPr>
              <w:t>CONTEXTO</w:t>
            </w:r>
            <w:r>
              <w:rPr>
                <w:rFonts w:ascii="Century Gothic" w:eastAsia="Times New Roman" w:hAnsi="Century Gothic" w:cs="Calibri"/>
                <w:b/>
                <w:bCs/>
                <w:color w:val="000000"/>
                <w:sz w:val="24"/>
                <w:szCs w:val="24"/>
              </w:rPr>
              <w:t xml:space="preserve"> - Caso - situación problémica</w:t>
            </w:r>
            <w:r w:rsidRPr="006D7424">
              <w:rPr>
                <w:rFonts w:ascii="Century Gothic" w:eastAsia="Times New Roman" w:hAnsi="Century Gothic" w:cs="Calibri"/>
                <w:bCs/>
                <w:color w:val="000000"/>
                <w:sz w:val="24"/>
                <w:szCs w:val="24"/>
              </w:rPr>
              <w:t>:</w:t>
            </w:r>
          </w:p>
          <w:p w:rsidR="00687AF6" w:rsidRPr="00687AF6" w:rsidRDefault="00687AF6" w:rsidP="00687AF6">
            <w:pPr>
              <w:spacing w:after="0" w:line="240" w:lineRule="auto"/>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Al final del trimestre, el informe de ventas de la gerencia a su cargo, evidenció un crecimiento entre el 8% y el 15% en todos los mercados. En línea con informaciones previas, las cifras de crecimiento se están estabilizando.</w:t>
            </w:r>
          </w:p>
          <w:p w:rsidR="00687AF6" w:rsidRDefault="00687AF6" w:rsidP="00687AF6">
            <w:pPr>
              <w:spacing w:after="0" w:line="240" w:lineRule="auto"/>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Aprovechando estos buenos resultados, la empresa ha decidido participar en una ronda de negocios en busca de posibles inversores y usted ha sido seleccionado para llevar a cabo la presentación respectiva.</w:t>
            </w:r>
          </w:p>
          <w:p w:rsidR="00687AF6" w:rsidRDefault="006B6A0C" w:rsidP="00687AF6">
            <w:pPr>
              <w:spacing w:after="0" w:line="240" w:lineRule="auto"/>
              <w:jc w:val="both"/>
              <w:rPr>
                <w:rFonts w:ascii="Century Gothic" w:eastAsia="Times New Roman" w:hAnsi="Century Gothic" w:cs="Calibri"/>
                <w:bCs/>
                <w:color w:val="000000"/>
                <w:sz w:val="24"/>
                <w:szCs w:val="24"/>
              </w:rPr>
            </w:pPr>
            <w:r w:rsidRPr="006B6A0C">
              <w:rPr>
                <w:rFonts w:ascii="Century Gothic" w:eastAsia="Times New Roman" w:hAnsi="Century Gothic" w:cs="Calibri"/>
                <w:bCs/>
                <w:color w:val="000000"/>
                <w:sz w:val="24"/>
                <w:szCs w:val="24"/>
              </w:rPr>
              <w:drawing>
                <wp:inline distT="0" distB="0" distL="0" distR="0" wp14:anchorId="0E62E148" wp14:editId="1B9917E7">
                  <wp:extent cx="6379210" cy="1953272"/>
                  <wp:effectExtent l="0" t="0" r="2540" b="8890"/>
                  <wp:docPr id="8"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a:blip r:embed="rId5"/>
                          <a:stretch>
                            <a:fillRect/>
                          </a:stretch>
                        </pic:blipFill>
                        <pic:spPr>
                          <a:xfrm>
                            <a:off x="0" y="0"/>
                            <a:ext cx="6379210" cy="1953272"/>
                          </a:xfrm>
                          <a:prstGeom prst="rect">
                            <a:avLst/>
                          </a:prstGeom>
                        </pic:spPr>
                      </pic:pic>
                    </a:graphicData>
                  </a:graphic>
                </wp:inline>
              </w:drawing>
            </w:r>
          </w:p>
          <w:p w:rsidR="00687AF6" w:rsidRPr="00302B3A" w:rsidRDefault="00687AF6" w:rsidP="00687AF6">
            <w:pPr>
              <w:spacing w:after="0" w:line="240" w:lineRule="auto"/>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Simulador CESIM (2018). Informes de simulación. Recuperado de https://sim.cesim.com/</w:t>
            </w:r>
          </w:p>
        </w:tc>
      </w:tr>
      <w:tr w:rsidR="00687AF6" w:rsidRPr="006D7424" w:rsidTr="00492C0A">
        <w:trPr>
          <w:trHeight w:val="4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687AF6" w:rsidRDefault="00687AF6" w:rsidP="00492C0A">
            <w:pPr>
              <w:spacing w:after="0" w:line="240" w:lineRule="auto"/>
              <w:jc w:val="both"/>
              <w:rPr>
                <w:rFonts w:ascii="Century Gothic" w:eastAsia="Times New Roman" w:hAnsi="Century Gothic" w:cs="Calibri"/>
                <w:bCs/>
                <w:color w:val="000000"/>
                <w:sz w:val="24"/>
                <w:szCs w:val="24"/>
              </w:rPr>
            </w:pPr>
            <w:r>
              <w:rPr>
                <w:rFonts w:ascii="Century Gothic" w:eastAsia="Times New Roman" w:hAnsi="Century Gothic" w:cs="Calibri"/>
                <w:b/>
                <w:bCs/>
                <w:color w:val="000000"/>
                <w:sz w:val="24"/>
                <w:szCs w:val="24"/>
              </w:rPr>
              <w:t>ENUNCIADO</w:t>
            </w:r>
            <w:r w:rsidRPr="006D7424">
              <w:rPr>
                <w:rFonts w:ascii="Century Gothic" w:eastAsia="Times New Roman" w:hAnsi="Century Gothic" w:cs="Calibri"/>
                <w:bCs/>
                <w:color w:val="000000"/>
                <w:sz w:val="24"/>
                <w:szCs w:val="24"/>
              </w:rPr>
              <w:t>:</w:t>
            </w:r>
          </w:p>
          <w:p w:rsidR="00687AF6" w:rsidRPr="00687AF6" w:rsidRDefault="00687AF6" w:rsidP="00687AF6">
            <w:pPr>
              <w:spacing w:after="0" w:line="240" w:lineRule="auto"/>
              <w:jc w:val="both"/>
              <w:rPr>
                <w:rFonts w:ascii="Century Gothic" w:eastAsia="Times New Roman" w:hAnsi="Century Gothic" w:cs="Calibri"/>
                <w:color w:val="000000"/>
                <w:sz w:val="24"/>
                <w:szCs w:val="24"/>
              </w:rPr>
            </w:pPr>
            <w:r w:rsidRPr="00687AF6">
              <w:rPr>
                <w:rFonts w:ascii="Century Gothic" w:eastAsia="Times New Roman" w:hAnsi="Century Gothic" w:cs="Calibri"/>
                <w:color w:val="000000"/>
                <w:sz w:val="24"/>
                <w:szCs w:val="24"/>
              </w:rPr>
              <w:t>Durante su presentación en una de las reuniones con posibles inversionistas, uno de los asistentes que no conoce nada a</w:t>
            </w:r>
            <w:bookmarkStart w:id="1" w:name="_GoBack"/>
            <w:bookmarkEnd w:id="1"/>
            <w:r w:rsidRPr="00687AF6">
              <w:rPr>
                <w:rFonts w:ascii="Century Gothic" w:eastAsia="Times New Roman" w:hAnsi="Century Gothic" w:cs="Calibri"/>
                <w:color w:val="000000"/>
                <w:sz w:val="24"/>
                <w:szCs w:val="24"/>
              </w:rPr>
              <w:t xml:space="preserve">cerca de la empresa le ha formulado la siguiente </w:t>
            </w:r>
            <w:r w:rsidRPr="00687AF6">
              <w:rPr>
                <w:rFonts w:ascii="Century Gothic" w:eastAsia="Times New Roman" w:hAnsi="Century Gothic" w:cs="Calibri"/>
                <w:color w:val="000000"/>
                <w:sz w:val="24"/>
                <w:szCs w:val="24"/>
              </w:rPr>
              <w:lastRenderedPageBreak/>
              <w:t xml:space="preserve">pregunta: ¿Por qué las filiales Rojo y Azul aparecen con una capacidad disponible diferente a la del resto de filiales? </w:t>
            </w:r>
          </w:p>
          <w:p w:rsidR="00687AF6" w:rsidRPr="006D7424" w:rsidRDefault="00687AF6" w:rsidP="00687AF6">
            <w:pPr>
              <w:spacing w:after="0" w:line="240" w:lineRule="auto"/>
              <w:jc w:val="both"/>
              <w:rPr>
                <w:rFonts w:ascii="Century Gothic" w:eastAsia="Times New Roman" w:hAnsi="Century Gothic" w:cs="Calibri"/>
                <w:color w:val="000000"/>
                <w:sz w:val="24"/>
                <w:szCs w:val="24"/>
              </w:rPr>
            </w:pPr>
            <w:r w:rsidRPr="00687AF6">
              <w:rPr>
                <w:rFonts w:ascii="Century Gothic" w:eastAsia="Times New Roman" w:hAnsi="Century Gothic" w:cs="Calibri"/>
                <w:color w:val="000000"/>
                <w:sz w:val="24"/>
                <w:szCs w:val="24"/>
              </w:rPr>
              <w:t>Ante esta pregunta, su respuesta debe ser:</w:t>
            </w:r>
          </w:p>
        </w:tc>
      </w:tr>
      <w:tr w:rsidR="00687AF6" w:rsidRPr="006D7424" w:rsidTr="00492C0A">
        <w:trPr>
          <w:trHeight w:val="675"/>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687AF6" w:rsidRDefault="00687AF6" w:rsidP="00492C0A">
            <w:pPr>
              <w:spacing w:after="0" w:line="240" w:lineRule="auto"/>
              <w:jc w:val="both"/>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lastRenderedPageBreak/>
              <w:t>Opciones de respuesta</w:t>
            </w:r>
          </w:p>
          <w:p w:rsidR="00687AF6" w:rsidRPr="00687AF6" w:rsidRDefault="00687AF6" w:rsidP="00687AF6">
            <w:pPr>
              <w:spacing w:after="0" w:line="240" w:lineRule="auto"/>
              <w:jc w:val="both"/>
              <w:rPr>
                <w:rFonts w:ascii="Century Gothic" w:eastAsia="Times New Roman" w:hAnsi="Century Gothic" w:cs="Calibri"/>
                <w:bCs/>
                <w:color w:val="000000"/>
                <w:sz w:val="24"/>
                <w:szCs w:val="24"/>
              </w:rPr>
            </w:pPr>
            <w:r w:rsidRPr="006D7424">
              <w:rPr>
                <w:rFonts w:ascii="Century Gothic" w:eastAsia="Times New Roman" w:hAnsi="Century Gothic" w:cs="Calibri"/>
                <w:b/>
                <w:bCs/>
                <w:color w:val="000000"/>
                <w:sz w:val="24"/>
                <w:szCs w:val="24"/>
              </w:rPr>
              <w:br/>
            </w:r>
            <w:r w:rsidRPr="00687AF6">
              <w:rPr>
                <w:rFonts w:ascii="Century Gothic" w:eastAsia="Times New Roman" w:hAnsi="Century Gothic" w:cs="Calibri"/>
                <w:bCs/>
                <w:color w:val="000000"/>
                <w:sz w:val="24"/>
                <w:szCs w:val="24"/>
              </w:rPr>
              <w:t>a. Estas filiales no se encuentran a su capacidad máxima debido a problemas en el circuito de producción.</w:t>
            </w:r>
          </w:p>
          <w:p w:rsidR="00687AF6" w:rsidRPr="00687AF6" w:rsidRDefault="00687AF6" w:rsidP="00687AF6">
            <w:pPr>
              <w:spacing w:after="0" w:line="240" w:lineRule="auto"/>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b. Ambas filiales son las unidades de producción más grandes y exceden en la cifra registrada la capacidad de las demás.</w:t>
            </w:r>
          </w:p>
          <w:p w:rsidR="00687AF6" w:rsidRPr="00687AF6" w:rsidRDefault="00687AF6" w:rsidP="00687AF6">
            <w:pPr>
              <w:spacing w:after="0" w:line="240" w:lineRule="auto"/>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c. En ambas filiales se calcula la expectativa de crecimiento a futuro derivada de las posibles inversiones que se realizarán.</w:t>
            </w:r>
          </w:p>
          <w:p w:rsidR="00687AF6" w:rsidRPr="006D7424" w:rsidRDefault="00687AF6" w:rsidP="00687AF6">
            <w:pPr>
              <w:spacing w:after="0" w:line="240" w:lineRule="auto"/>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d. Esta capacidad disponible se refiere al porcentaje de inversión que se podrá recibir en la actual ronda de negocios.</w:t>
            </w:r>
          </w:p>
        </w:tc>
      </w:tr>
      <w:tr w:rsidR="00687AF6" w:rsidRPr="006D7424" w:rsidTr="00492C0A">
        <w:trPr>
          <w:trHeight w:val="780"/>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87AF6" w:rsidRPr="006D7424" w:rsidRDefault="00687AF6" w:rsidP="00492C0A">
            <w:pPr>
              <w:spacing w:after="0" w:line="240" w:lineRule="auto"/>
              <w:jc w:val="both"/>
              <w:rPr>
                <w:rFonts w:ascii="Century Gothic" w:eastAsia="Times New Roman" w:hAnsi="Century Gothic" w:cs="Calibri"/>
                <w:b/>
                <w:bCs/>
                <w:color w:val="000000"/>
                <w:sz w:val="24"/>
                <w:szCs w:val="24"/>
              </w:rPr>
            </w:pPr>
          </w:p>
        </w:tc>
      </w:tr>
      <w:tr w:rsidR="00687AF6" w:rsidRPr="006D7424" w:rsidTr="00492C0A">
        <w:trPr>
          <w:trHeight w:val="450"/>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87AF6" w:rsidRPr="006D7424" w:rsidRDefault="00687AF6" w:rsidP="00492C0A">
            <w:pPr>
              <w:spacing w:after="0" w:line="240" w:lineRule="auto"/>
              <w:jc w:val="both"/>
              <w:rPr>
                <w:rFonts w:ascii="Century Gothic" w:eastAsia="Times New Roman" w:hAnsi="Century Gothic" w:cs="Calibri"/>
                <w:b/>
                <w:bCs/>
                <w:color w:val="000000"/>
                <w:sz w:val="24"/>
                <w:szCs w:val="24"/>
              </w:rPr>
            </w:pPr>
          </w:p>
        </w:tc>
      </w:tr>
      <w:tr w:rsidR="00687AF6" w:rsidRPr="006D7424" w:rsidTr="00492C0A">
        <w:trPr>
          <w:trHeight w:val="294"/>
        </w:trPr>
        <w:tc>
          <w:tcPr>
            <w:tcW w:w="5000" w:type="pct"/>
            <w:gridSpan w:val="3"/>
            <w:tcBorders>
              <w:top w:val="single" w:sz="12" w:space="0" w:color="16365C"/>
              <w:left w:val="single" w:sz="4" w:space="0" w:color="auto"/>
              <w:bottom w:val="single" w:sz="4" w:space="0" w:color="auto"/>
              <w:right w:val="single" w:sz="4" w:space="0" w:color="auto"/>
            </w:tcBorders>
            <w:shd w:val="clear" w:color="auto" w:fill="auto"/>
            <w:hideMark/>
          </w:tcPr>
          <w:p w:rsidR="00687AF6" w:rsidRPr="006D7424" w:rsidRDefault="00687AF6" w:rsidP="00492C0A">
            <w:pPr>
              <w:spacing w:after="0" w:line="240" w:lineRule="auto"/>
              <w:jc w:val="both"/>
              <w:rPr>
                <w:rFonts w:ascii="Century Gothic" w:eastAsia="Times New Roman" w:hAnsi="Century Gothic" w:cs="Calibri"/>
                <w:bCs/>
                <w:color w:val="000000"/>
                <w:sz w:val="24"/>
                <w:szCs w:val="24"/>
              </w:rPr>
            </w:pPr>
            <w:r w:rsidRPr="006D7424">
              <w:rPr>
                <w:rFonts w:ascii="Century Gothic" w:eastAsia="Times New Roman" w:hAnsi="Century Gothic" w:cs="Calibri"/>
                <w:b/>
                <w:bCs/>
                <w:color w:val="000000"/>
                <w:sz w:val="24"/>
                <w:szCs w:val="24"/>
              </w:rPr>
              <w:t>JUSTIFICACIÓN DE OPCIONES DE R</w:t>
            </w:r>
            <w:r>
              <w:rPr>
                <w:rFonts w:ascii="Century Gothic" w:eastAsia="Times New Roman" w:hAnsi="Century Gothic" w:cs="Calibri"/>
                <w:b/>
                <w:bCs/>
                <w:color w:val="000000"/>
                <w:sz w:val="24"/>
                <w:szCs w:val="24"/>
              </w:rPr>
              <w:t>ESPUESTA</w:t>
            </w:r>
          </w:p>
        </w:tc>
      </w:tr>
      <w:tr w:rsidR="00687AF6" w:rsidRPr="006D7424" w:rsidTr="00492C0A">
        <w:trPr>
          <w:trHeight w:val="41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687AF6" w:rsidRPr="00687AF6" w:rsidRDefault="00687AF6" w:rsidP="00687AF6">
            <w:pPr>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 xml:space="preserve">Por qué NO es </w:t>
            </w:r>
            <w:r>
              <w:rPr>
                <w:rFonts w:ascii="Century Gothic" w:eastAsia="Times New Roman" w:hAnsi="Century Gothic" w:cs="Calibri"/>
                <w:bCs/>
                <w:color w:val="000000"/>
                <w:sz w:val="24"/>
                <w:szCs w:val="24"/>
              </w:rPr>
              <w:t>b: porque e</w:t>
            </w:r>
            <w:r w:rsidRPr="00687AF6">
              <w:rPr>
                <w:rFonts w:ascii="Century Gothic" w:eastAsia="Times New Roman" w:hAnsi="Century Gothic" w:cs="Calibri"/>
                <w:bCs/>
                <w:color w:val="000000"/>
                <w:sz w:val="24"/>
                <w:szCs w:val="24"/>
              </w:rPr>
              <w:t>stá opción hace referencia a la capacidad instalada, entendida como la capacidad máxima del sistema de producción, aunque de ser así tendría una inconsistencia conceptual al no considerar la reducción de la producción derivada de las necesidades de mantenimiento.</w:t>
            </w:r>
          </w:p>
        </w:tc>
      </w:tr>
      <w:tr w:rsidR="00687AF6" w:rsidRPr="006D7424" w:rsidTr="00492C0A">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687AF6" w:rsidRPr="00687AF6" w:rsidRDefault="00687AF6" w:rsidP="00687AF6">
            <w:pPr>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 xml:space="preserve">Por qué NO es </w:t>
            </w:r>
            <w:r>
              <w:rPr>
                <w:rFonts w:ascii="Century Gothic" w:eastAsia="Times New Roman" w:hAnsi="Century Gothic" w:cs="Calibri"/>
                <w:bCs/>
                <w:color w:val="000000"/>
                <w:sz w:val="24"/>
                <w:szCs w:val="24"/>
              </w:rPr>
              <w:t>c: porque s</w:t>
            </w:r>
            <w:r w:rsidRPr="00687AF6">
              <w:rPr>
                <w:rFonts w:ascii="Century Gothic" w:eastAsia="Times New Roman" w:hAnsi="Century Gothic" w:cs="Calibri"/>
                <w:bCs/>
                <w:color w:val="000000"/>
                <w:sz w:val="24"/>
                <w:szCs w:val="24"/>
              </w:rPr>
              <w:t>e está haciendo referencia a la capacidad máxima de un sistema de producción (capacidad teórica), aunque sería un cálculo erróneo ya que no se basa en proyecciones sino en la disponibilidad real e inmediata de máquinas, instalaciones y equipos.</w:t>
            </w:r>
          </w:p>
        </w:tc>
      </w:tr>
      <w:tr w:rsidR="00687AF6" w:rsidRPr="006D7424" w:rsidTr="00492C0A">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687AF6" w:rsidRPr="00687AF6" w:rsidRDefault="00687AF6" w:rsidP="00687AF6">
            <w:pPr>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 xml:space="preserve">Por qué NO es </w:t>
            </w:r>
            <w:r>
              <w:rPr>
                <w:rFonts w:ascii="Century Gothic" w:eastAsia="Times New Roman" w:hAnsi="Century Gothic" w:cs="Calibri"/>
                <w:bCs/>
                <w:color w:val="000000"/>
                <w:sz w:val="24"/>
                <w:szCs w:val="24"/>
              </w:rPr>
              <w:t>d: porque s</w:t>
            </w:r>
            <w:r w:rsidRPr="00687AF6">
              <w:rPr>
                <w:rFonts w:ascii="Century Gothic" w:eastAsia="Times New Roman" w:hAnsi="Century Gothic" w:cs="Calibri"/>
                <w:bCs/>
                <w:color w:val="000000"/>
                <w:sz w:val="24"/>
                <w:szCs w:val="24"/>
              </w:rPr>
              <w:t>e alude a la capacidad que debe disponer un sistema de producción (capacidad necesaria), en la medida que, teniendo en cuenta las condiciones del mercado, las especificidades del proceso productivo y la capacidad instalada. No obstante, esta categoría no integra ninguna alusión a la meta de inversión a capturar.</w:t>
            </w:r>
          </w:p>
        </w:tc>
      </w:tr>
      <w:tr w:rsidR="00687AF6" w:rsidRPr="006D7424" w:rsidTr="00492C0A">
        <w:trPr>
          <w:trHeight w:val="52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687AF6" w:rsidRDefault="00687AF6" w:rsidP="00687AF6">
            <w:pPr>
              <w:spacing w:after="0" w:line="240" w:lineRule="auto"/>
              <w:jc w:val="both"/>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CLAVE Y JUSTIFICACIÓN.</w:t>
            </w:r>
          </w:p>
          <w:p w:rsidR="00687AF6" w:rsidRPr="00687AF6" w:rsidRDefault="00687AF6" w:rsidP="00687AF6">
            <w:pPr>
              <w:spacing w:after="0" w:line="240" w:lineRule="auto"/>
              <w:jc w:val="both"/>
              <w:rPr>
                <w:rFonts w:ascii="Century Gothic" w:eastAsia="Times New Roman" w:hAnsi="Century Gothic" w:cs="Calibri"/>
                <w:bCs/>
                <w:color w:val="000000"/>
                <w:sz w:val="24"/>
                <w:szCs w:val="24"/>
              </w:rPr>
            </w:pPr>
            <w:r w:rsidRPr="00687AF6">
              <w:rPr>
                <w:rFonts w:ascii="Century Gothic" w:eastAsia="Times New Roman" w:hAnsi="Century Gothic" w:cs="Calibri"/>
                <w:bCs/>
                <w:color w:val="000000"/>
                <w:sz w:val="24"/>
                <w:szCs w:val="24"/>
              </w:rPr>
              <w:t xml:space="preserve">La </w:t>
            </w:r>
            <w:r>
              <w:rPr>
                <w:rFonts w:ascii="Century Gothic" w:eastAsia="Times New Roman" w:hAnsi="Century Gothic" w:cs="Calibri"/>
                <w:bCs/>
                <w:color w:val="000000"/>
                <w:sz w:val="24"/>
                <w:szCs w:val="24"/>
              </w:rPr>
              <w:t>c</w:t>
            </w:r>
            <w:r w:rsidRPr="00687AF6">
              <w:rPr>
                <w:rFonts w:ascii="Century Gothic" w:eastAsia="Times New Roman" w:hAnsi="Century Gothic" w:cs="Calibri"/>
                <w:bCs/>
                <w:color w:val="000000"/>
                <w:sz w:val="24"/>
                <w:szCs w:val="24"/>
              </w:rPr>
              <w:t xml:space="preserve">lave es </w:t>
            </w:r>
            <w:r>
              <w:rPr>
                <w:rFonts w:ascii="Century Gothic" w:eastAsia="Times New Roman" w:hAnsi="Century Gothic" w:cs="Calibri"/>
                <w:bCs/>
                <w:color w:val="000000"/>
                <w:sz w:val="24"/>
                <w:szCs w:val="24"/>
              </w:rPr>
              <w:t>a</w:t>
            </w:r>
            <w:r w:rsidRPr="00687AF6">
              <w:rPr>
                <w:rFonts w:ascii="Century Gothic" w:eastAsia="Times New Roman" w:hAnsi="Century Gothic" w:cs="Calibri"/>
                <w:bCs/>
                <w:color w:val="000000"/>
                <w:sz w:val="24"/>
                <w:szCs w:val="24"/>
              </w:rPr>
              <w:t xml:space="preserve"> porque hace referencia a la reducción de la capacidad instalada debido a situaciones que afectan el 100% de productividad.</w:t>
            </w:r>
          </w:p>
        </w:tc>
      </w:tr>
      <w:tr w:rsidR="00687AF6" w:rsidRPr="006D7424" w:rsidTr="00492C0A">
        <w:trPr>
          <w:trHeight w:val="139"/>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687AF6" w:rsidRDefault="00687AF6" w:rsidP="00687AF6">
            <w:pPr>
              <w:spacing w:after="0" w:line="240" w:lineRule="auto"/>
              <w:jc w:val="both"/>
              <w:rPr>
                <w:rFonts w:ascii="Century Gothic" w:eastAsia="Times New Roman" w:hAnsi="Century Gothic" w:cs="Calibri"/>
                <w:color w:val="000000"/>
                <w:sz w:val="24"/>
                <w:szCs w:val="24"/>
              </w:rPr>
            </w:pPr>
            <w:r w:rsidRPr="006D7424">
              <w:rPr>
                <w:rFonts w:ascii="Century Gothic" w:eastAsia="Times New Roman" w:hAnsi="Century Gothic" w:cs="Calibri"/>
                <w:b/>
                <w:bCs/>
                <w:color w:val="000000"/>
                <w:sz w:val="24"/>
                <w:szCs w:val="24"/>
              </w:rPr>
              <w:t>ESPECIFICACIONES DE DISEÑO: DIBUJOS, ECUACIONES Y / O GRÁFICOS</w:t>
            </w:r>
            <w:r>
              <w:rPr>
                <w:rFonts w:ascii="Century Gothic" w:eastAsia="Times New Roman" w:hAnsi="Century Gothic" w:cs="Calibri"/>
                <w:color w:val="000000"/>
                <w:sz w:val="24"/>
                <w:szCs w:val="24"/>
              </w:rPr>
              <w:t>:</w:t>
            </w:r>
          </w:p>
          <w:p w:rsidR="00687AF6" w:rsidRDefault="00687AF6" w:rsidP="00687AF6">
            <w:pPr>
              <w:spacing w:after="0" w:line="240" w:lineRule="auto"/>
              <w:jc w:val="both"/>
              <w:rPr>
                <w:rFonts w:ascii="Century Gothic" w:eastAsia="Times New Roman" w:hAnsi="Century Gothic" w:cs="Calibri"/>
                <w:color w:val="000000"/>
                <w:sz w:val="24"/>
                <w:szCs w:val="24"/>
              </w:rPr>
            </w:pPr>
          </w:p>
          <w:p w:rsidR="00687AF6" w:rsidRPr="006D7424" w:rsidRDefault="00687AF6" w:rsidP="00687AF6">
            <w:pPr>
              <w:spacing w:after="0" w:line="240" w:lineRule="auto"/>
              <w:jc w:val="both"/>
              <w:rPr>
                <w:rFonts w:ascii="Century Gothic" w:eastAsia="Times New Roman" w:hAnsi="Century Gothic" w:cs="Calibri"/>
                <w:b/>
                <w:bCs/>
                <w:color w:val="000000"/>
                <w:sz w:val="24"/>
                <w:szCs w:val="24"/>
              </w:rPr>
            </w:pPr>
          </w:p>
        </w:tc>
      </w:tr>
      <w:bookmarkEnd w:id="0"/>
    </w:tbl>
    <w:p w:rsidR="00687AF6" w:rsidRDefault="00687AF6"/>
    <w:sectPr w:rsidR="00687AF6" w:rsidSect="00F3331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D5C"/>
    <w:rsid w:val="00230B6E"/>
    <w:rsid w:val="00384D5C"/>
    <w:rsid w:val="00687AF6"/>
    <w:rsid w:val="006B6A0C"/>
    <w:rsid w:val="00E74328"/>
    <w:rsid w:val="00EA2E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ABE25"/>
  <w15:chartTrackingRefBased/>
  <w15:docId w15:val="{52329E2D-F8F8-416D-B09A-3DDA63BD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D5C"/>
    <w:pPr>
      <w:spacing w:after="200" w:line="276" w:lineRule="auto"/>
    </w:pPr>
    <w:rPr>
      <w:rFonts w:eastAsiaTheme="minorEastAsia"/>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84D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476</Words>
  <Characters>2618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CRISTINA SEVILLANO MOYA</dc:creator>
  <cp:keywords/>
  <dc:description/>
  <cp:lastModifiedBy>STEPHANY  PINZON HERNANDEZ</cp:lastModifiedBy>
  <cp:revision>5</cp:revision>
  <dcterms:created xsi:type="dcterms:W3CDTF">2021-10-26T17:06:00Z</dcterms:created>
  <dcterms:modified xsi:type="dcterms:W3CDTF">2021-10-26T17:15:00Z</dcterms:modified>
</cp:coreProperties>
</file>