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37C99" w14:textId="23E48ADB" w:rsidR="00C54E81" w:rsidRDefault="00C54E81">
      <w:bookmarkStart w:id="0" w:name="_GoBack"/>
      <w:bookmarkEnd w:id="0"/>
    </w:p>
    <w:tbl>
      <w:tblPr>
        <w:tblW w:w="5000" w:type="pct"/>
        <w:tblCellMar>
          <w:left w:w="70" w:type="dxa"/>
          <w:right w:w="70" w:type="dxa"/>
        </w:tblCellMar>
        <w:tblLook w:val="04A0" w:firstRow="1" w:lastRow="0" w:firstColumn="1" w:lastColumn="0" w:noHBand="0" w:noVBand="1"/>
      </w:tblPr>
      <w:tblGrid>
        <w:gridCol w:w="2697"/>
        <w:gridCol w:w="3423"/>
        <w:gridCol w:w="4670"/>
      </w:tblGrid>
      <w:tr w:rsidR="00445C49" w:rsidRPr="006D7424" w14:paraId="64207B88" w14:textId="77777777" w:rsidTr="00755D1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1F595FE3" w14:textId="77777777" w:rsidR="00445C49" w:rsidRPr="006D7424" w:rsidRDefault="00445C49" w:rsidP="00755D1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0288" behindDoc="0" locked="0" layoutInCell="1" allowOverlap="1" wp14:anchorId="6AE11087" wp14:editId="5743EAA6">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42C03E3D" w14:textId="77777777" w:rsidR="00445C49" w:rsidRPr="006D7424" w:rsidRDefault="00445C49" w:rsidP="00755D1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445C49" w:rsidRPr="006D7424" w14:paraId="06FD0201" w14:textId="77777777" w:rsidTr="00755D18">
        <w:trPr>
          <w:trHeight w:val="570"/>
        </w:trPr>
        <w:tc>
          <w:tcPr>
            <w:tcW w:w="1250" w:type="pct"/>
            <w:vMerge/>
            <w:tcBorders>
              <w:top w:val="nil"/>
              <w:left w:val="single" w:sz="4" w:space="0" w:color="auto"/>
              <w:bottom w:val="single" w:sz="12" w:space="0" w:color="16365C"/>
              <w:right w:val="nil"/>
            </w:tcBorders>
            <w:vAlign w:val="center"/>
            <w:hideMark/>
          </w:tcPr>
          <w:p w14:paraId="4D2FF449" w14:textId="77777777" w:rsidR="00445C49" w:rsidRPr="006D7424" w:rsidRDefault="00445C49" w:rsidP="00755D1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43BB733B" w14:textId="77777777" w:rsidR="00445C49" w:rsidRPr="006D7424" w:rsidRDefault="00445C49" w:rsidP="00755D1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094068B1" w14:textId="77777777" w:rsidR="00445C49" w:rsidRPr="006D7424" w:rsidRDefault="00445C49" w:rsidP="00755D1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445C49" w:rsidRPr="006D7424" w14:paraId="78DC5944" w14:textId="77777777" w:rsidTr="00755D18">
        <w:trPr>
          <w:trHeight w:val="450"/>
        </w:trPr>
        <w:tc>
          <w:tcPr>
            <w:tcW w:w="1250" w:type="pct"/>
            <w:vMerge/>
            <w:tcBorders>
              <w:top w:val="nil"/>
              <w:left w:val="single" w:sz="4" w:space="0" w:color="auto"/>
              <w:bottom w:val="single" w:sz="12" w:space="0" w:color="16365C"/>
              <w:right w:val="nil"/>
            </w:tcBorders>
            <w:vAlign w:val="center"/>
            <w:hideMark/>
          </w:tcPr>
          <w:p w14:paraId="3342A094" w14:textId="77777777" w:rsidR="00445C49" w:rsidRPr="006D7424" w:rsidRDefault="00445C49"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E171ACB" w14:textId="77777777" w:rsidR="00445C49" w:rsidRPr="006D7424" w:rsidRDefault="00445C49"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76BAD18" w14:textId="77777777" w:rsidR="00445C49" w:rsidRPr="006D7424" w:rsidRDefault="00445C49" w:rsidP="00755D18">
            <w:pPr>
              <w:spacing w:after="0" w:line="240" w:lineRule="auto"/>
              <w:rPr>
                <w:rFonts w:ascii="Century Gothic" w:eastAsia="Times New Roman" w:hAnsi="Century Gothic" w:cs="Calibri"/>
                <w:b/>
                <w:bCs/>
                <w:color w:val="1A0A94"/>
                <w:sz w:val="24"/>
                <w:szCs w:val="24"/>
                <w:lang w:eastAsia="es-CO"/>
              </w:rPr>
            </w:pPr>
          </w:p>
        </w:tc>
      </w:tr>
      <w:tr w:rsidR="00445C49" w:rsidRPr="006D7424" w14:paraId="41CD8644" w14:textId="77777777" w:rsidTr="00755D18">
        <w:trPr>
          <w:trHeight w:val="450"/>
        </w:trPr>
        <w:tc>
          <w:tcPr>
            <w:tcW w:w="1250" w:type="pct"/>
            <w:vMerge/>
            <w:tcBorders>
              <w:top w:val="nil"/>
              <w:left w:val="single" w:sz="4" w:space="0" w:color="auto"/>
              <w:bottom w:val="single" w:sz="12" w:space="0" w:color="16365C"/>
              <w:right w:val="nil"/>
            </w:tcBorders>
            <w:vAlign w:val="center"/>
            <w:hideMark/>
          </w:tcPr>
          <w:p w14:paraId="3859871B" w14:textId="77777777" w:rsidR="00445C49" w:rsidRPr="006D7424" w:rsidRDefault="00445C49"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DA0E4F5" w14:textId="77777777" w:rsidR="00445C49" w:rsidRPr="006D7424" w:rsidRDefault="00445C49"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07C7628" w14:textId="77777777" w:rsidR="00445C49" w:rsidRPr="006D7424" w:rsidRDefault="00445C49" w:rsidP="00755D18">
            <w:pPr>
              <w:spacing w:after="0" w:line="240" w:lineRule="auto"/>
              <w:rPr>
                <w:rFonts w:ascii="Century Gothic" w:eastAsia="Times New Roman" w:hAnsi="Century Gothic" w:cs="Calibri"/>
                <w:b/>
                <w:bCs/>
                <w:color w:val="1A0A94"/>
                <w:sz w:val="24"/>
                <w:szCs w:val="24"/>
                <w:lang w:eastAsia="es-CO"/>
              </w:rPr>
            </w:pPr>
          </w:p>
        </w:tc>
      </w:tr>
      <w:tr w:rsidR="00445C49" w:rsidRPr="006D7424" w14:paraId="564FAD7E" w14:textId="77777777" w:rsidTr="00755D1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04A4BF37" w14:textId="77777777" w:rsidR="00445C49" w:rsidRPr="006D7424" w:rsidRDefault="00445C49"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3F485E1F" w14:textId="77777777" w:rsidR="00445C49" w:rsidRPr="006D7424" w:rsidRDefault="00445C49"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445C49" w:rsidRPr="006D7424" w14:paraId="7C88DBD0" w14:textId="77777777" w:rsidTr="00755D1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9BF99A2" w14:textId="77777777" w:rsidR="00445C49" w:rsidRPr="006D7424" w:rsidRDefault="00445C49" w:rsidP="00755D1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p>
        </w:tc>
        <w:tc>
          <w:tcPr>
            <w:tcW w:w="2164" w:type="pct"/>
            <w:tcBorders>
              <w:top w:val="single" w:sz="4" w:space="0" w:color="auto"/>
              <w:left w:val="nil"/>
              <w:bottom w:val="single" w:sz="4" w:space="0" w:color="auto"/>
              <w:right w:val="single" w:sz="4" w:space="0" w:color="auto"/>
            </w:tcBorders>
            <w:shd w:val="clear" w:color="auto" w:fill="auto"/>
          </w:tcPr>
          <w:p w14:paraId="5675B40B" w14:textId="77777777" w:rsidR="00445C49" w:rsidRPr="006D7424" w:rsidRDefault="00445C49" w:rsidP="00755D18">
            <w:pPr>
              <w:spacing w:after="0" w:line="240" w:lineRule="auto"/>
              <w:rPr>
                <w:rFonts w:ascii="Century Gothic" w:eastAsia="Times New Roman" w:hAnsi="Century Gothic" w:cs="Calibri"/>
                <w:b/>
                <w:bCs/>
                <w:color w:val="000000"/>
                <w:sz w:val="24"/>
                <w:szCs w:val="24"/>
                <w:lang w:eastAsia="es-CO"/>
              </w:rPr>
            </w:pPr>
          </w:p>
        </w:tc>
      </w:tr>
      <w:tr w:rsidR="00445C49" w:rsidRPr="006D7424" w14:paraId="275838F5" w14:textId="77777777" w:rsidTr="00755D1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2965C841" w14:textId="600F46BD" w:rsidR="00445C49" w:rsidRPr="006D7424" w:rsidRDefault="00445C49" w:rsidP="00755D1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Microeconomía Avanzada</w:t>
            </w:r>
          </w:p>
        </w:tc>
        <w:tc>
          <w:tcPr>
            <w:tcW w:w="2164" w:type="pct"/>
            <w:tcBorders>
              <w:top w:val="single" w:sz="4" w:space="0" w:color="auto"/>
              <w:left w:val="nil"/>
              <w:bottom w:val="single" w:sz="4" w:space="0" w:color="auto"/>
              <w:right w:val="single" w:sz="4" w:space="0" w:color="auto"/>
            </w:tcBorders>
            <w:shd w:val="clear" w:color="auto" w:fill="auto"/>
          </w:tcPr>
          <w:p w14:paraId="40C02BAC" w14:textId="77777777" w:rsidR="00445C49" w:rsidRPr="006D7424" w:rsidRDefault="00445C49" w:rsidP="00755D18">
            <w:pPr>
              <w:spacing w:after="0" w:line="240" w:lineRule="auto"/>
              <w:rPr>
                <w:rFonts w:ascii="Century Gothic" w:eastAsia="Times New Roman" w:hAnsi="Century Gothic" w:cs="Calibri"/>
                <w:color w:val="000000"/>
                <w:sz w:val="24"/>
                <w:szCs w:val="24"/>
                <w:lang w:eastAsia="es-CO"/>
              </w:rPr>
            </w:pPr>
          </w:p>
        </w:tc>
      </w:tr>
      <w:tr w:rsidR="00445C49" w:rsidRPr="006D7424" w14:paraId="0971AEFD" w14:textId="77777777" w:rsidTr="00755D18">
        <w:trPr>
          <w:trHeight w:val="827"/>
        </w:trPr>
        <w:tc>
          <w:tcPr>
            <w:tcW w:w="2836" w:type="pct"/>
            <w:gridSpan w:val="2"/>
            <w:vMerge/>
            <w:tcBorders>
              <w:left w:val="single" w:sz="4" w:space="0" w:color="auto"/>
              <w:right w:val="single" w:sz="4" w:space="0" w:color="auto"/>
            </w:tcBorders>
            <w:vAlign w:val="center"/>
            <w:hideMark/>
          </w:tcPr>
          <w:p w14:paraId="7E8DCFD0" w14:textId="77777777" w:rsidR="00445C49" w:rsidRPr="006D7424" w:rsidRDefault="00445C49"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16A6356" w14:textId="77777777" w:rsidR="00445C49" w:rsidRPr="005138D5" w:rsidRDefault="00445C49" w:rsidP="00755D18">
            <w:pPr>
              <w:spacing w:after="0" w:line="240" w:lineRule="auto"/>
              <w:rPr>
                <w:rFonts w:ascii="Century Gothic" w:eastAsia="Times New Roman" w:hAnsi="Century Gothic" w:cs="Calibri"/>
                <w:bCs/>
                <w:color w:val="000000"/>
                <w:sz w:val="24"/>
                <w:szCs w:val="24"/>
                <w:lang w:eastAsia="es-CO"/>
              </w:rPr>
            </w:pPr>
          </w:p>
        </w:tc>
      </w:tr>
      <w:tr w:rsidR="00445C49" w:rsidRPr="006D7424" w14:paraId="631FDA38" w14:textId="77777777" w:rsidTr="00755D18">
        <w:trPr>
          <w:trHeight w:val="827"/>
        </w:trPr>
        <w:tc>
          <w:tcPr>
            <w:tcW w:w="2836" w:type="pct"/>
            <w:gridSpan w:val="2"/>
            <w:vMerge/>
            <w:tcBorders>
              <w:left w:val="single" w:sz="4" w:space="0" w:color="auto"/>
              <w:bottom w:val="single" w:sz="12" w:space="0" w:color="1A0A94"/>
              <w:right w:val="single" w:sz="4" w:space="0" w:color="auto"/>
            </w:tcBorders>
            <w:vAlign w:val="center"/>
          </w:tcPr>
          <w:p w14:paraId="6952E418" w14:textId="77777777" w:rsidR="00445C49" w:rsidRPr="006D7424" w:rsidRDefault="00445C49"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C0551CC" w14:textId="77777777" w:rsidR="00445C49" w:rsidRPr="006D7424" w:rsidRDefault="00445C49" w:rsidP="00755D18">
            <w:pPr>
              <w:spacing w:after="0" w:line="240" w:lineRule="auto"/>
              <w:rPr>
                <w:rFonts w:ascii="Century Gothic" w:eastAsia="Times New Roman" w:hAnsi="Century Gothic" w:cs="Calibri"/>
                <w:b/>
                <w:bCs/>
                <w:color w:val="000000"/>
                <w:sz w:val="24"/>
                <w:szCs w:val="24"/>
                <w:lang w:eastAsia="es-CO"/>
              </w:rPr>
            </w:pPr>
          </w:p>
        </w:tc>
      </w:tr>
      <w:tr w:rsidR="00445C49" w:rsidRPr="006D7424" w14:paraId="1BFB52D0" w14:textId="77777777" w:rsidTr="00755D1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580391C0" w14:textId="77777777" w:rsidR="00445C49" w:rsidRPr="006D7424" w:rsidRDefault="00445C49"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445C49" w:rsidRPr="006D7424" w14:paraId="40D46A9A" w14:textId="77777777" w:rsidTr="00755D1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3A4A3CC" w14:textId="77777777" w:rsidR="00445C49" w:rsidRDefault="00445C49"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2E2C7F5C" w14:textId="77777777" w:rsidR="00445C49" w:rsidRDefault="00445C49" w:rsidP="00755D18">
            <w:pPr>
              <w:spacing w:after="0" w:line="240" w:lineRule="auto"/>
              <w:jc w:val="both"/>
              <w:rPr>
                <w:rFonts w:ascii="Century Gothic" w:eastAsia="Times New Roman" w:hAnsi="Century Gothic" w:cs="Calibri"/>
                <w:bCs/>
                <w:color w:val="000000"/>
                <w:sz w:val="24"/>
                <w:szCs w:val="24"/>
                <w:lang w:eastAsia="es-CO"/>
              </w:rPr>
            </w:pPr>
          </w:p>
          <w:p w14:paraId="7C1EB360" w14:textId="77777777" w:rsidR="00445C49" w:rsidRPr="006D7424" w:rsidRDefault="00445C49" w:rsidP="00755D18">
            <w:pPr>
              <w:spacing w:after="0" w:line="240" w:lineRule="auto"/>
              <w:jc w:val="both"/>
              <w:rPr>
                <w:rFonts w:ascii="Century Gothic" w:eastAsia="Times New Roman" w:hAnsi="Century Gothic" w:cs="Calibri"/>
                <w:b/>
                <w:bCs/>
                <w:color w:val="000000"/>
                <w:sz w:val="24"/>
                <w:szCs w:val="24"/>
                <w:lang w:eastAsia="es-CO"/>
              </w:rPr>
            </w:pPr>
          </w:p>
        </w:tc>
      </w:tr>
      <w:tr w:rsidR="00445C49" w:rsidRPr="006D7424" w14:paraId="5F51F331" w14:textId="77777777" w:rsidTr="00755D1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00A722F" w14:textId="77777777" w:rsidR="00445C49" w:rsidRDefault="00445C49"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1BCB3F8E" w14:textId="4636C2A8" w:rsidR="00445C49" w:rsidRPr="00445C49" w:rsidRDefault="00445C49" w:rsidP="00755D18">
            <w:pPr>
              <w:spacing w:after="0" w:line="240" w:lineRule="auto"/>
              <w:jc w:val="both"/>
              <w:rPr>
                <w:rFonts w:ascii="Century Gothic" w:eastAsia="Times New Roman" w:hAnsi="Century Gothic" w:cs="Calibri"/>
                <w:bCs/>
                <w:color w:val="000000"/>
                <w:sz w:val="24"/>
                <w:szCs w:val="24"/>
                <w:lang w:eastAsia="es-CO"/>
              </w:rPr>
            </w:pPr>
            <w:r w:rsidRPr="00445C49">
              <w:rPr>
                <w:rFonts w:ascii="Century Gothic" w:eastAsia="Times New Roman" w:hAnsi="Century Gothic" w:cs="Calibri"/>
                <w:bCs/>
                <w:color w:val="000000"/>
                <w:sz w:val="24"/>
                <w:szCs w:val="24"/>
                <w:lang w:eastAsia="es-CO"/>
              </w:rPr>
              <w:t>Las crisis financieras, en la mayor parte de los casos, han tenido su origen en situaciones de alta liquidez, ante las cuales el gobierno ha tenido que rescatar a instituciones financieras para evitar que la crisis financiera se traslade al sector real.   La situación problémica surge del hecho de que el rescate al sector financiero puede ocasionar otras distorsiones en el mercado.</w:t>
            </w:r>
          </w:p>
        </w:tc>
      </w:tr>
      <w:tr w:rsidR="00445C49" w:rsidRPr="006D7424" w14:paraId="79B047D0" w14:textId="77777777" w:rsidTr="00755D1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5EB7903" w14:textId="77777777" w:rsidR="00445C49" w:rsidRDefault="00445C49" w:rsidP="00755D1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158E5C9B" w14:textId="60DDAC77" w:rsidR="00445C49" w:rsidRDefault="00445C49" w:rsidP="00755D18">
            <w:pPr>
              <w:spacing w:after="0" w:line="240" w:lineRule="auto"/>
              <w:jc w:val="both"/>
              <w:rPr>
                <w:rFonts w:ascii="Century Gothic" w:eastAsia="Times New Roman" w:hAnsi="Century Gothic" w:cs="Calibri"/>
                <w:bCs/>
                <w:color w:val="000000"/>
                <w:sz w:val="24"/>
                <w:szCs w:val="24"/>
                <w:lang w:eastAsia="es-CO"/>
              </w:rPr>
            </w:pPr>
            <w:r w:rsidRPr="00445C49">
              <w:rPr>
                <w:rFonts w:ascii="Century Gothic" w:eastAsia="Times New Roman" w:hAnsi="Century Gothic" w:cs="Calibri"/>
                <w:bCs/>
                <w:color w:val="000000"/>
                <w:sz w:val="24"/>
                <w:szCs w:val="24"/>
                <w:lang w:eastAsia="es-CO"/>
              </w:rPr>
              <w:t>Partiendo de la situación problémica anterior, la distorsión que puede ocurrir es:</w:t>
            </w:r>
          </w:p>
          <w:p w14:paraId="11836B19" w14:textId="77777777" w:rsidR="00445C49" w:rsidRPr="006D7424" w:rsidRDefault="00445C49" w:rsidP="00755D18">
            <w:pPr>
              <w:spacing w:after="0" w:line="240" w:lineRule="auto"/>
              <w:jc w:val="both"/>
              <w:rPr>
                <w:rFonts w:ascii="Century Gothic" w:eastAsia="Times New Roman" w:hAnsi="Century Gothic" w:cs="Calibri"/>
                <w:color w:val="000000"/>
                <w:sz w:val="24"/>
                <w:szCs w:val="24"/>
                <w:lang w:eastAsia="es-CO"/>
              </w:rPr>
            </w:pPr>
          </w:p>
        </w:tc>
      </w:tr>
      <w:tr w:rsidR="00445C49" w:rsidRPr="006D7424" w14:paraId="6DCCEF58" w14:textId="77777777" w:rsidTr="00755D1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ABFFD6E" w14:textId="77777777" w:rsidR="00445C49" w:rsidRDefault="00445C49" w:rsidP="00755D1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6037BB40" w14:textId="77777777" w:rsidR="00445C49" w:rsidRPr="00445C49" w:rsidRDefault="00445C49" w:rsidP="00445C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445C49">
              <w:rPr>
                <w:rFonts w:ascii="Century Gothic" w:eastAsia="Times New Roman" w:hAnsi="Century Gothic" w:cs="Calibri"/>
                <w:bCs/>
                <w:color w:val="000000"/>
                <w:sz w:val="24"/>
                <w:szCs w:val="24"/>
                <w:lang w:eastAsia="es-CO"/>
              </w:rPr>
              <w:t>a. Se genera un problema de información asimétrica.</w:t>
            </w:r>
          </w:p>
          <w:p w14:paraId="55176D47" w14:textId="77777777" w:rsidR="00445C49" w:rsidRPr="00445C49" w:rsidRDefault="00445C49" w:rsidP="00445C49">
            <w:pPr>
              <w:spacing w:after="0" w:line="240" w:lineRule="auto"/>
              <w:jc w:val="both"/>
              <w:rPr>
                <w:rFonts w:ascii="Century Gothic" w:eastAsia="Times New Roman" w:hAnsi="Century Gothic" w:cs="Calibri"/>
                <w:bCs/>
                <w:color w:val="000000"/>
                <w:sz w:val="24"/>
                <w:szCs w:val="24"/>
                <w:lang w:eastAsia="es-CO"/>
              </w:rPr>
            </w:pPr>
            <w:r w:rsidRPr="00445C49">
              <w:rPr>
                <w:rFonts w:ascii="Century Gothic" w:eastAsia="Times New Roman" w:hAnsi="Century Gothic" w:cs="Calibri"/>
                <w:bCs/>
                <w:color w:val="000000"/>
                <w:sz w:val="24"/>
                <w:szCs w:val="24"/>
                <w:lang w:eastAsia="es-CO"/>
              </w:rPr>
              <w:t>b. Se presenta un problema de externalidad negativa.</w:t>
            </w:r>
          </w:p>
          <w:p w14:paraId="7EC80D43" w14:textId="77777777" w:rsidR="00445C49" w:rsidRPr="00445C49" w:rsidRDefault="00445C49" w:rsidP="00445C49">
            <w:pPr>
              <w:spacing w:after="0" w:line="240" w:lineRule="auto"/>
              <w:jc w:val="both"/>
              <w:rPr>
                <w:rFonts w:ascii="Century Gothic" w:eastAsia="Times New Roman" w:hAnsi="Century Gothic" w:cs="Calibri"/>
                <w:bCs/>
                <w:color w:val="000000"/>
                <w:sz w:val="24"/>
                <w:szCs w:val="24"/>
                <w:lang w:eastAsia="es-CO"/>
              </w:rPr>
            </w:pPr>
            <w:r w:rsidRPr="00445C49">
              <w:rPr>
                <w:rFonts w:ascii="Century Gothic" w:eastAsia="Times New Roman" w:hAnsi="Century Gothic" w:cs="Calibri"/>
                <w:bCs/>
                <w:color w:val="000000"/>
                <w:sz w:val="24"/>
                <w:szCs w:val="24"/>
                <w:lang w:eastAsia="es-CO"/>
              </w:rPr>
              <w:t>c. Se presenta un problema de principal y agente.</w:t>
            </w:r>
          </w:p>
          <w:p w14:paraId="326A635E" w14:textId="5BB1C6B0" w:rsidR="00445C49" w:rsidRPr="006D7424" w:rsidRDefault="00445C49" w:rsidP="00445C49">
            <w:pPr>
              <w:spacing w:after="0" w:line="240" w:lineRule="auto"/>
              <w:jc w:val="both"/>
              <w:rPr>
                <w:rFonts w:ascii="Century Gothic" w:eastAsia="Times New Roman" w:hAnsi="Century Gothic" w:cs="Calibri"/>
                <w:bCs/>
                <w:color w:val="000000"/>
                <w:sz w:val="24"/>
                <w:szCs w:val="24"/>
                <w:lang w:eastAsia="es-CO"/>
              </w:rPr>
            </w:pPr>
            <w:r w:rsidRPr="00445C49">
              <w:rPr>
                <w:rFonts w:ascii="Century Gothic" w:eastAsia="Times New Roman" w:hAnsi="Century Gothic" w:cs="Calibri"/>
                <w:bCs/>
                <w:color w:val="000000"/>
                <w:sz w:val="24"/>
                <w:szCs w:val="24"/>
                <w:lang w:eastAsia="es-CO"/>
              </w:rPr>
              <w:t>d. Se presenta un problema de riesgo moral.</w:t>
            </w:r>
          </w:p>
          <w:p w14:paraId="3672D11C" w14:textId="77777777" w:rsidR="00445C49" w:rsidRPr="006D7424" w:rsidRDefault="00445C49" w:rsidP="00755D18">
            <w:pPr>
              <w:spacing w:after="0" w:line="240" w:lineRule="auto"/>
              <w:jc w:val="both"/>
              <w:rPr>
                <w:rFonts w:ascii="Century Gothic" w:eastAsia="Times New Roman" w:hAnsi="Century Gothic" w:cs="Calibri"/>
                <w:bCs/>
                <w:color w:val="000000"/>
                <w:sz w:val="24"/>
                <w:szCs w:val="24"/>
                <w:lang w:eastAsia="es-CO"/>
              </w:rPr>
            </w:pPr>
          </w:p>
        </w:tc>
      </w:tr>
      <w:tr w:rsidR="00445C49" w:rsidRPr="006D7424" w14:paraId="265CEB69" w14:textId="77777777" w:rsidTr="00755D1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A06EA71" w14:textId="77777777" w:rsidR="00445C49" w:rsidRPr="006D7424" w:rsidRDefault="00445C49" w:rsidP="00755D18">
            <w:pPr>
              <w:spacing w:after="0" w:line="240" w:lineRule="auto"/>
              <w:jc w:val="both"/>
              <w:rPr>
                <w:rFonts w:ascii="Century Gothic" w:eastAsia="Times New Roman" w:hAnsi="Century Gothic" w:cs="Calibri"/>
                <w:b/>
                <w:bCs/>
                <w:color w:val="000000"/>
                <w:sz w:val="24"/>
                <w:szCs w:val="24"/>
                <w:lang w:eastAsia="es-CO"/>
              </w:rPr>
            </w:pPr>
          </w:p>
        </w:tc>
      </w:tr>
      <w:tr w:rsidR="00445C49" w:rsidRPr="006D7424" w14:paraId="3DF5B270" w14:textId="77777777" w:rsidTr="00755D1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5BFE65F" w14:textId="77777777" w:rsidR="00445C49" w:rsidRPr="006D7424" w:rsidRDefault="00445C49" w:rsidP="00755D18">
            <w:pPr>
              <w:spacing w:after="0" w:line="240" w:lineRule="auto"/>
              <w:jc w:val="both"/>
              <w:rPr>
                <w:rFonts w:ascii="Century Gothic" w:eastAsia="Times New Roman" w:hAnsi="Century Gothic" w:cs="Calibri"/>
                <w:b/>
                <w:bCs/>
                <w:color w:val="000000"/>
                <w:sz w:val="24"/>
                <w:szCs w:val="24"/>
                <w:lang w:eastAsia="es-CO"/>
              </w:rPr>
            </w:pPr>
          </w:p>
        </w:tc>
      </w:tr>
      <w:tr w:rsidR="00445C49" w:rsidRPr="006D7424" w14:paraId="32E4CCFC" w14:textId="77777777" w:rsidTr="00755D1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15CB4A0F" w14:textId="77777777" w:rsidR="00445C49" w:rsidRPr="006D7424" w:rsidRDefault="00445C49"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445C49" w:rsidRPr="006D7424" w14:paraId="115DDB8C" w14:textId="77777777" w:rsidTr="00755D1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3B450FF" w14:textId="601F483E" w:rsidR="00445C49" w:rsidRDefault="00445C49" w:rsidP="00445C49">
            <w:pPr>
              <w:spacing w:after="0" w:line="240" w:lineRule="auto"/>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sz w:val="24"/>
                <w:szCs w:val="24"/>
                <w:lang w:eastAsia="es-CO"/>
              </w:rPr>
              <w:t>a</w:t>
            </w:r>
            <w:r>
              <w:rPr>
                <w:rFonts w:ascii="Century Gothic" w:eastAsia="Times New Roman" w:hAnsi="Century Gothic" w:cs="Calibri"/>
                <w:sz w:val="24"/>
                <w:szCs w:val="24"/>
                <w:lang w:eastAsia="es-CO"/>
              </w:rPr>
              <w:t>: porque s</w:t>
            </w:r>
            <w:r>
              <w:rPr>
                <w:rFonts w:ascii="Century Gothic" w:eastAsia="Times New Roman" w:hAnsi="Century Gothic" w:cs="Calibri"/>
                <w:sz w:val="24"/>
                <w:szCs w:val="24"/>
                <w:lang w:eastAsia="es-CO"/>
              </w:rPr>
              <w:t>e genera un problema de información asimétrica.  PORQUE:  La información asimétrica no se origina en rescate a una institución financiera.</w:t>
            </w:r>
          </w:p>
          <w:p w14:paraId="0E98A77B" w14:textId="77777777" w:rsidR="00445C49" w:rsidRPr="006D7424" w:rsidRDefault="00445C49" w:rsidP="00445C49">
            <w:pPr>
              <w:spacing w:after="0" w:line="240" w:lineRule="auto"/>
              <w:jc w:val="both"/>
              <w:rPr>
                <w:rFonts w:ascii="Century Gothic" w:eastAsia="Times New Roman" w:hAnsi="Century Gothic" w:cs="Calibri"/>
                <w:sz w:val="24"/>
                <w:szCs w:val="24"/>
                <w:lang w:eastAsia="es-CO"/>
              </w:rPr>
            </w:pPr>
          </w:p>
        </w:tc>
      </w:tr>
      <w:tr w:rsidR="00445C49" w:rsidRPr="006D7424" w14:paraId="4C585212" w14:textId="77777777"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7941383" w14:textId="6C9A55A0" w:rsidR="00445C49" w:rsidRDefault="00445C49" w:rsidP="00445C49">
            <w:pPr>
              <w:spacing w:after="0" w:line="240" w:lineRule="auto"/>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sz w:val="24"/>
                <w:szCs w:val="24"/>
                <w:lang w:eastAsia="es-CO"/>
              </w:rPr>
              <w:t>b</w:t>
            </w:r>
            <w:r>
              <w:rPr>
                <w:rFonts w:ascii="Century Gothic" w:eastAsia="Times New Roman" w:hAnsi="Century Gothic" w:cs="Calibri"/>
                <w:sz w:val="24"/>
                <w:szCs w:val="24"/>
                <w:lang w:eastAsia="es-CO"/>
              </w:rPr>
              <w:t>: porque s</w:t>
            </w:r>
            <w:r>
              <w:rPr>
                <w:rFonts w:ascii="Century Gothic" w:eastAsia="Times New Roman" w:hAnsi="Century Gothic" w:cs="Calibri"/>
                <w:sz w:val="24"/>
                <w:szCs w:val="24"/>
                <w:lang w:eastAsia="es-CO"/>
              </w:rPr>
              <w:t>e presenta un problema de externalidad negativa.  PORQUE: La externalidad negativa ocurre por otro tipo de fenómenos como la generación de contaminación por parte de una empresa.</w:t>
            </w:r>
          </w:p>
          <w:p w14:paraId="58BC56BC" w14:textId="77777777" w:rsidR="00445C49" w:rsidRPr="006D7424" w:rsidRDefault="00445C49" w:rsidP="00445C49">
            <w:pPr>
              <w:spacing w:after="0" w:line="240" w:lineRule="auto"/>
              <w:jc w:val="both"/>
              <w:rPr>
                <w:rFonts w:ascii="Century Gothic" w:eastAsia="Times New Roman" w:hAnsi="Century Gothic" w:cs="Calibri"/>
                <w:sz w:val="24"/>
                <w:szCs w:val="24"/>
                <w:lang w:eastAsia="es-CO"/>
              </w:rPr>
            </w:pPr>
          </w:p>
        </w:tc>
      </w:tr>
      <w:tr w:rsidR="00445C49" w:rsidRPr="006D7424" w14:paraId="15B5D305" w14:textId="77777777"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6BD705F" w14:textId="4D05DBA7" w:rsidR="00445C49" w:rsidRDefault="00445C49" w:rsidP="00445C49">
            <w:pPr>
              <w:spacing w:after="0" w:line="240" w:lineRule="auto"/>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sz w:val="24"/>
                <w:szCs w:val="24"/>
                <w:lang w:eastAsia="es-CO"/>
              </w:rPr>
              <w:t>c</w:t>
            </w:r>
            <w:r>
              <w:rPr>
                <w:rFonts w:ascii="Century Gothic" w:eastAsia="Times New Roman" w:hAnsi="Century Gothic" w:cs="Calibri"/>
                <w:sz w:val="24"/>
                <w:szCs w:val="24"/>
                <w:lang w:eastAsia="es-CO"/>
              </w:rPr>
              <w:t>: porque se</w:t>
            </w:r>
            <w:r>
              <w:rPr>
                <w:rFonts w:ascii="Century Gothic" w:eastAsia="Times New Roman" w:hAnsi="Century Gothic" w:cs="Calibri"/>
                <w:sz w:val="24"/>
                <w:szCs w:val="24"/>
                <w:lang w:eastAsia="es-CO"/>
              </w:rPr>
              <w:t xml:space="preserve"> presenta el dilema de principal y agente.  PORQUE:  En este caso no se presenta el problema de agencia.  No se está delegando una responsabilidad.</w:t>
            </w:r>
          </w:p>
          <w:p w14:paraId="73516C54" w14:textId="77777777" w:rsidR="00445C49" w:rsidRPr="006D7424" w:rsidRDefault="00445C49" w:rsidP="00445C49">
            <w:pPr>
              <w:spacing w:after="0" w:line="240" w:lineRule="auto"/>
              <w:jc w:val="both"/>
              <w:rPr>
                <w:rFonts w:ascii="Century Gothic" w:eastAsia="Times New Roman" w:hAnsi="Century Gothic" w:cs="Calibri"/>
                <w:sz w:val="24"/>
                <w:szCs w:val="24"/>
                <w:lang w:eastAsia="es-CO"/>
              </w:rPr>
            </w:pPr>
          </w:p>
        </w:tc>
      </w:tr>
      <w:tr w:rsidR="00445C49" w:rsidRPr="006D7424" w14:paraId="1262CC57" w14:textId="77777777" w:rsidTr="00755D1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B6D2E12" w14:textId="77777777" w:rsidR="00445C49" w:rsidRDefault="00445C49" w:rsidP="00445C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14:paraId="268D5EC7" w14:textId="2EF49964" w:rsidR="00445C49" w:rsidRPr="00035A5A" w:rsidRDefault="00445C49" w:rsidP="00445C49">
            <w:pPr>
              <w:spacing w:after="0" w:line="240" w:lineRule="auto"/>
              <w:jc w:val="both"/>
              <w:rPr>
                <w:rFonts w:ascii="Century Gothic" w:eastAsia="Times New Roman" w:hAnsi="Century Gothic" w:cs="Calibri"/>
                <w:bCs/>
                <w:color w:val="000000"/>
                <w:sz w:val="24"/>
                <w:szCs w:val="24"/>
                <w:lang w:eastAsia="es-CO"/>
              </w:rPr>
            </w:pPr>
            <w:r w:rsidRPr="00445C49">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w:t>
            </w:r>
            <w:r w:rsidRPr="00445C49">
              <w:rPr>
                <w:rFonts w:ascii="Century Gothic" w:eastAsia="Times New Roman" w:hAnsi="Century Gothic" w:cs="Calibri"/>
                <w:bCs/>
                <w:color w:val="000000"/>
                <w:sz w:val="24"/>
                <w:szCs w:val="24"/>
                <w:lang w:eastAsia="es-CO"/>
              </w:rPr>
              <w:t>lave es d.  Se genera un problema de riesgo moral.  PORQUE:  En este caso, las instituciones financieras se ven motivadas a actuar en forma muy riesgosa sabiendo que las consecuencias negativas serán asumidas por el gobierno.</w:t>
            </w:r>
          </w:p>
          <w:p w14:paraId="1879C40C" w14:textId="77777777" w:rsidR="00445C49" w:rsidRPr="006D7424" w:rsidRDefault="00445C49" w:rsidP="00445C49">
            <w:pPr>
              <w:spacing w:after="0" w:line="240" w:lineRule="auto"/>
              <w:jc w:val="both"/>
              <w:rPr>
                <w:rFonts w:ascii="Century Gothic" w:eastAsia="Times New Roman" w:hAnsi="Century Gothic" w:cs="Calibri"/>
                <w:b/>
                <w:bCs/>
                <w:color w:val="000000"/>
                <w:sz w:val="24"/>
                <w:szCs w:val="24"/>
                <w:lang w:eastAsia="es-CO"/>
              </w:rPr>
            </w:pPr>
          </w:p>
        </w:tc>
      </w:tr>
      <w:tr w:rsidR="00445C49" w:rsidRPr="006D7424" w14:paraId="46775412" w14:textId="77777777" w:rsidTr="00755D1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345E01F" w14:textId="77777777" w:rsidR="00445C49" w:rsidRDefault="00445C49" w:rsidP="00445C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5AB40025" w14:textId="77777777" w:rsidR="00445C49" w:rsidRDefault="00445C49" w:rsidP="00445C49">
            <w:pPr>
              <w:spacing w:after="0" w:line="240" w:lineRule="auto"/>
              <w:jc w:val="both"/>
              <w:rPr>
                <w:rFonts w:ascii="Century Gothic" w:eastAsia="Times New Roman" w:hAnsi="Century Gothic" w:cs="Calibri"/>
                <w:color w:val="000000"/>
                <w:sz w:val="24"/>
                <w:szCs w:val="24"/>
                <w:lang w:eastAsia="es-CO"/>
              </w:rPr>
            </w:pPr>
          </w:p>
          <w:p w14:paraId="46766116" w14:textId="77777777" w:rsidR="00445C49" w:rsidRPr="006D7424" w:rsidRDefault="00445C49" w:rsidP="00445C49">
            <w:pPr>
              <w:spacing w:after="0" w:line="240" w:lineRule="auto"/>
              <w:jc w:val="both"/>
              <w:rPr>
                <w:rFonts w:ascii="Century Gothic" w:eastAsia="Times New Roman" w:hAnsi="Century Gothic" w:cs="Calibri"/>
                <w:b/>
                <w:bCs/>
                <w:color w:val="000000"/>
                <w:sz w:val="24"/>
                <w:szCs w:val="24"/>
                <w:lang w:eastAsia="es-CO"/>
              </w:rPr>
            </w:pPr>
          </w:p>
        </w:tc>
      </w:tr>
    </w:tbl>
    <w:p w14:paraId="11AFC65C" w14:textId="77777777" w:rsidR="00445C49" w:rsidRDefault="00445C49"/>
    <w:sectPr w:rsidR="00445C49"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F6250"/>
    <w:rsid w:val="00176620"/>
    <w:rsid w:val="00445C49"/>
    <w:rsid w:val="0048796A"/>
    <w:rsid w:val="005138D5"/>
    <w:rsid w:val="006D7424"/>
    <w:rsid w:val="0084118F"/>
    <w:rsid w:val="0092224F"/>
    <w:rsid w:val="00971013"/>
    <w:rsid w:val="00975E98"/>
    <w:rsid w:val="009C5304"/>
    <w:rsid w:val="00BB12BA"/>
    <w:rsid w:val="00C54E81"/>
    <w:rsid w:val="00C65D35"/>
    <w:rsid w:val="00CD0262"/>
    <w:rsid w:val="00D0668B"/>
    <w:rsid w:val="00D76859"/>
    <w:rsid w:val="00F03454"/>
    <w:rsid w:val="00FC5D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9FB"/>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 w:id="1402214322">
      <w:bodyDiv w:val="1"/>
      <w:marLeft w:val="0"/>
      <w:marRight w:val="0"/>
      <w:marTop w:val="0"/>
      <w:marBottom w:val="0"/>
      <w:divBdr>
        <w:top w:val="none" w:sz="0" w:space="0" w:color="auto"/>
        <w:left w:val="none" w:sz="0" w:space="0" w:color="auto"/>
        <w:bottom w:val="none" w:sz="0" w:space="0" w:color="auto"/>
        <w:right w:val="none" w:sz="0" w:space="0" w:color="auto"/>
      </w:divBdr>
    </w:div>
    <w:div w:id="1598366000">
      <w:bodyDiv w:val="1"/>
      <w:marLeft w:val="0"/>
      <w:marRight w:val="0"/>
      <w:marTop w:val="0"/>
      <w:marBottom w:val="0"/>
      <w:divBdr>
        <w:top w:val="none" w:sz="0" w:space="0" w:color="auto"/>
        <w:left w:val="none" w:sz="0" w:space="0" w:color="auto"/>
        <w:bottom w:val="none" w:sz="0" w:space="0" w:color="auto"/>
        <w:right w:val="none" w:sz="0" w:space="0" w:color="auto"/>
      </w:divBdr>
    </w:div>
    <w:div w:id="20653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34E1B-23CE-4331-A473-0AB7009C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302</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4</cp:revision>
  <dcterms:created xsi:type="dcterms:W3CDTF">2021-09-28T15:02:00Z</dcterms:created>
  <dcterms:modified xsi:type="dcterms:W3CDTF">2021-09-28T15:11:00Z</dcterms:modified>
</cp:coreProperties>
</file>