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639" w:rsidRDefault="00253639"/>
    <w:tbl>
      <w:tblPr>
        <w:tblW w:w="5000" w:type="pct"/>
        <w:tblCellMar>
          <w:left w:w="70" w:type="dxa"/>
          <w:right w:w="70" w:type="dxa"/>
        </w:tblCellMar>
        <w:tblLook w:val="04A0" w:firstRow="1" w:lastRow="0" w:firstColumn="1" w:lastColumn="0" w:noHBand="0" w:noVBand="1"/>
      </w:tblPr>
      <w:tblGrid>
        <w:gridCol w:w="2212"/>
        <w:gridCol w:w="2801"/>
        <w:gridCol w:w="3815"/>
      </w:tblGrid>
      <w:tr w:rsidR="00253639" w:rsidRPr="006D7424" w:rsidTr="008C3C3E">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53639" w:rsidRPr="006D7424" w:rsidRDefault="00253639" w:rsidP="008C3C3E">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4426FB8" wp14:editId="43C4C7DA">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253639" w:rsidRPr="006D7424" w:rsidTr="008C3C3E">
        <w:trPr>
          <w:trHeight w:val="570"/>
        </w:trPr>
        <w:tc>
          <w:tcPr>
            <w:tcW w:w="1250" w:type="pct"/>
            <w:vMerge/>
            <w:tcBorders>
              <w:top w:val="nil"/>
              <w:left w:val="single" w:sz="4" w:space="0" w:color="auto"/>
              <w:bottom w:val="single" w:sz="12" w:space="0" w:color="16365C"/>
              <w:right w:val="nil"/>
            </w:tcBorders>
            <w:vAlign w:val="center"/>
            <w:hideMark/>
          </w:tcPr>
          <w:p w:rsidR="00253639" w:rsidRPr="006D7424" w:rsidRDefault="00253639" w:rsidP="008C3C3E">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253639" w:rsidRPr="006D7424" w:rsidRDefault="00253639" w:rsidP="008C3C3E">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53639" w:rsidRPr="006D7424" w:rsidRDefault="00253639" w:rsidP="008C3C3E">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253639" w:rsidRPr="006D7424" w:rsidTr="008C3C3E">
        <w:trPr>
          <w:trHeight w:val="450"/>
        </w:trPr>
        <w:tc>
          <w:tcPr>
            <w:tcW w:w="1250" w:type="pct"/>
            <w:vMerge/>
            <w:tcBorders>
              <w:top w:val="nil"/>
              <w:left w:val="single" w:sz="4" w:space="0" w:color="auto"/>
              <w:bottom w:val="single" w:sz="12" w:space="0" w:color="16365C"/>
              <w:right w:val="nil"/>
            </w:tcBorders>
            <w:vAlign w:val="center"/>
            <w:hideMark/>
          </w:tcPr>
          <w:p w:rsidR="00253639" w:rsidRPr="006D7424" w:rsidRDefault="00253639"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53639" w:rsidRPr="006D7424" w:rsidRDefault="00253639" w:rsidP="008C3C3E">
            <w:pPr>
              <w:spacing w:after="0" w:line="240" w:lineRule="auto"/>
              <w:rPr>
                <w:rFonts w:ascii="Century Gothic" w:eastAsia="Times New Roman" w:hAnsi="Century Gothic" w:cs="Calibri"/>
                <w:b/>
                <w:bCs/>
                <w:color w:val="1A0A94"/>
                <w:sz w:val="24"/>
                <w:szCs w:val="24"/>
                <w:lang w:eastAsia="es-CO"/>
              </w:rPr>
            </w:pPr>
          </w:p>
        </w:tc>
      </w:tr>
      <w:tr w:rsidR="00253639" w:rsidRPr="006D7424" w:rsidTr="008C3C3E">
        <w:trPr>
          <w:trHeight w:val="450"/>
        </w:trPr>
        <w:tc>
          <w:tcPr>
            <w:tcW w:w="1250" w:type="pct"/>
            <w:vMerge/>
            <w:tcBorders>
              <w:top w:val="nil"/>
              <w:left w:val="single" w:sz="4" w:space="0" w:color="auto"/>
              <w:bottom w:val="single" w:sz="12" w:space="0" w:color="16365C"/>
              <w:right w:val="nil"/>
            </w:tcBorders>
            <w:vAlign w:val="center"/>
            <w:hideMark/>
          </w:tcPr>
          <w:p w:rsidR="00253639" w:rsidRPr="006D7424" w:rsidRDefault="00253639" w:rsidP="008C3C3E">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253639" w:rsidRPr="006D7424" w:rsidRDefault="00253639" w:rsidP="008C3C3E">
            <w:pPr>
              <w:spacing w:after="0" w:line="240" w:lineRule="auto"/>
              <w:rPr>
                <w:rFonts w:ascii="Century Gothic" w:eastAsia="Times New Roman" w:hAnsi="Century Gothic" w:cs="Calibri"/>
                <w:b/>
                <w:bCs/>
                <w:color w:val="1A0A94"/>
                <w:sz w:val="24"/>
                <w:szCs w:val="24"/>
                <w:lang w:eastAsia="es-CO"/>
              </w:rPr>
            </w:pPr>
          </w:p>
        </w:tc>
      </w:tr>
      <w:tr w:rsidR="00253639" w:rsidRPr="006D7424" w:rsidTr="008C3C3E">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53639" w:rsidRPr="006D7424" w:rsidRDefault="00253639"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53639" w:rsidRPr="006D7424" w:rsidRDefault="00253639" w:rsidP="008C3C3E">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253639" w:rsidRPr="006D7424" w:rsidTr="008C3C3E">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53639" w:rsidRPr="006D7424" w:rsidRDefault="00253639" w:rsidP="008C3C3E">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Pr="00FE1A00">
              <w:rPr>
                <w:rFonts w:ascii="Century Gothic" w:eastAsia="Times New Roman" w:hAnsi="Century Gothic" w:cs="Calibri"/>
                <w:bCs/>
                <w:color w:val="000000"/>
                <w:sz w:val="24"/>
                <w:szCs w:val="24"/>
                <w:lang w:eastAsia="es-CO"/>
              </w:rPr>
              <w:t>Estudios y gestión cultural</w:t>
            </w:r>
          </w:p>
        </w:tc>
        <w:tc>
          <w:tcPr>
            <w:tcW w:w="2164" w:type="pct"/>
            <w:tcBorders>
              <w:top w:val="single" w:sz="4" w:space="0" w:color="auto"/>
              <w:left w:val="nil"/>
              <w:bottom w:val="single" w:sz="4" w:space="0" w:color="auto"/>
              <w:right w:val="single" w:sz="4" w:space="0" w:color="auto"/>
            </w:tcBorders>
            <w:shd w:val="clear" w:color="auto" w:fill="auto"/>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r w:rsidR="00253639" w:rsidRPr="006D7424" w:rsidTr="008C3C3E">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sidR="005E777F">
              <w:rPr>
                <w:rFonts w:ascii="Century Gothic" w:eastAsia="Times New Roman" w:hAnsi="Century Gothic" w:cs="Calibri"/>
                <w:bCs/>
                <w:color w:val="000000"/>
                <w:sz w:val="24"/>
                <w:szCs w:val="24"/>
                <w:lang w:eastAsia="es-CO"/>
              </w:rPr>
              <w:t>Fundamentos de las Empresas Culturales</w:t>
            </w:r>
          </w:p>
        </w:tc>
        <w:tc>
          <w:tcPr>
            <w:tcW w:w="2164" w:type="pct"/>
            <w:tcBorders>
              <w:top w:val="single" w:sz="4" w:space="0" w:color="auto"/>
              <w:left w:val="nil"/>
              <w:bottom w:val="single" w:sz="4" w:space="0" w:color="auto"/>
              <w:right w:val="single" w:sz="4" w:space="0" w:color="auto"/>
            </w:tcBorders>
            <w:shd w:val="clear" w:color="auto" w:fill="auto"/>
          </w:tcPr>
          <w:p w:rsidR="00253639" w:rsidRPr="006D7424" w:rsidRDefault="00253639" w:rsidP="008C3C3E">
            <w:pPr>
              <w:spacing w:after="0" w:line="240" w:lineRule="auto"/>
              <w:rPr>
                <w:rFonts w:ascii="Century Gothic" w:eastAsia="Times New Roman" w:hAnsi="Century Gothic" w:cs="Calibri"/>
                <w:color w:val="000000"/>
                <w:sz w:val="24"/>
                <w:szCs w:val="24"/>
                <w:lang w:eastAsia="es-CO"/>
              </w:rPr>
            </w:pPr>
          </w:p>
        </w:tc>
      </w:tr>
      <w:tr w:rsidR="00253639" w:rsidRPr="006D7424" w:rsidTr="008C3C3E">
        <w:trPr>
          <w:trHeight w:val="827"/>
        </w:trPr>
        <w:tc>
          <w:tcPr>
            <w:tcW w:w="2836" w:type="pct"/>
            <w:gridSpan w:val="2"/>
            <w:vMerge/>
            <w:tcBorders>
              <w:left w:val="single" w:sz="4" w:space="0" w:color="auto"/>
              <w:right w:val="single" w:sz="4" w:space="0" w:color="auto"/>
            </w:tcBorders>
            <w:vAlign w:val="center"/>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53639" w:rsidRPr="005138D5" w:rsidRDefault="00253639" w:rsidP="008C3C3E">
            <w:pPr>
              <w:spacing w:after="0" w:line="240" w:lineRule="auto"/>
              <w:rPr>
                <w:rFonts w:ascii="Century Gothic" w:eastAsia="Times New Roman" w:hAnsi="Century Gothic" w:cs="Calibri"/>
                <w:bCs/>
                <w:color w:val="000000"/>
                <w:sz w:val="24"/>
                <w:szCs w:val="24"/>
                <w:lang w:eastAsia="es-CO"/>
              </w:rPr>
            </w:pPr>
          </w:p>
        </w:tc>
      </w:tr>
      <w:tr w:rsidR="00253639" w:rsidRPr="006D7424" w:rsidTr="008C3C3E">
        <w:trPr>
          <w:trHeight w:val="827"/>
        </w:trPr>
        <w:tc>
          <w:tcPr>
            <w:tcW w:w="2836" w:type="pct"/>
            <w:gridSpan w:val="2"/>
            <w:vMerge/>
            <w:tcBorders>
              <w:left w:val="single" w:sz="4" w:space="0" w:color="auto"/>
              <w:bottom w:val="single" w:sz="12" w:space="0" w:color="1A0A94"/>
              <w:right w:val="single" w:sz="4" w:space="0" w:color="auto"/>
            </w:tcBorders>
            <w:vAlign w:val="center"/>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r w:rsidR="00253639" w:rsidRPr="006D7424" w:rsidTr="008C3C3E">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53639" w:rsidRPr="006D7424" w:rsidRDefault="00253639" w:rsidP="008C3C3E">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253639" w:rsidRPr="006D7424" w:rsidTr="008C3C3E">
        <w:trPr>
          <w:trHeight w:val="1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3639" w:rsidRDefault="00253639" w:rsidP="008C3C3E">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253639" w:rsidRDefault="00253639" w:rsidP="008C3C3E">
            <w:pPr>
              <w:spacing w:after="0" w:line="240" w:lineRule="auto"/>
              <w:rPr>
                <w:rFonts w:ascii="Century Gothic" w:eastAsia="Times New Roman" w:hAnsi="Century Gothic" w:cs="Calibri"/>
                <w:b/>
                <w:bCs/>
                <w:color w:val="000000"/>
                <w:sz w:val="24"/>
                <w:szCs w:val="24"/>
                <w:lang w:eastAsia="es-CO"/>
              </w:rPr>
            </w:pPr>
          </w:p>
          <w:p w:rsidR="00253639" w:rsidRDefault="005E777F" w:rsidP="008C3C3E">
            <w:pPr>
              <w:spacing w:after="0" w:line="240" w:lineRule="auto"/>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Capacidad para analizar estratégicamente el entorno cultural para la solución de problemas de las empresas y organizaciones bajo una perspectiva multicultural, global y dinámica.</w:t>
            </w:r>
          </w:p>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r w:rsidR="00253639" w:rsidRPr="006D7424" w:rsidTr="008C3C3E">
        <w:trPr>
          <w:trHeight w:val="16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3639" w:rsidRDefault="00253639"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253639" w:rsidRDefault="00253639" w:rsidP="008C3C3E">
            <w:pPr>
              <w:spacing w:after="0" w:line="240" w:lineRule="auto"/>
              <w:rPr>
                <w:rFonts w:ascii="Century Gothic" w:eastAsia="Times New Roman" w:hAnsi="Century Gothic" w:cs="Calibri"/>
                <w:bCs/>
                <w:color w:val="000000"/>
                <w:sz w:val="24"/>
                <w:szCs w:val="24"/>
                <w:lang w:eastAsia="es-CO"/>
              </w:rPr>
            </w:pPr>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 xml:space="preserve">Trescientos cincuenta niños, niñas y jóvenes en condición de vulnerabilidad de las localidades de Usme, Ciudad Bolívar, Rafael Uribe Uribe y San Cristóbal iniciaron hoy el proyecto “Fútbol para la Convivencia”, apuesta social, deportiva y recreativa para la </w:t>
            </w:r>
            <w:r w:rsidR="008C2183" w:rsidRPr="005E777F">
              <w:rPr>
                <w:rFonts w:ascii="Century Gothic" w:eastAsia="Times New Roman" w:hAnsi="Century Gothic" w:cs="Calibri"/>
                <w:bCs/>
                <w:color w:val="000000"/>
                <w:sz w:val="24"/>
                <w:szCs w:val="24"/>
                <w:lang w:eastAsia="es-CO"/>
              </w:rPr>
              <w:t>resignificación</w:t>
            </w:r>
            <w:r w:rsidRPr="005E777F">
              <w:rPr>
                <w:rFonts w:ascii="Century Gothic" w:eastAsia="Times New Roman" w:hAnsi="Century Gothic" w:cs="Calibri"/>
                <w:bCs/>
                <w:color w:val="000000"/>
                <w:sz w:val="24"/>
                <w:szCs w:val="24"/>
                <w:lang w:eastAsia="es-CO"/>
              </w:rPr>
              <w:t xml:space="preserve"> del fútbol como deporte incluyente y aporte para la construcción de la paz y la convivencia en Bogotá.</w:t>
            </w: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La Secretaría Distrital de Gobierno, a través del Programa Sur de Convivencia, presentó a los jóvenes el proyecto en la UPZ Danubio Azul de la localidad de Usme, en el marco de las acciones de fortalecimiento de la Seguridad y la Convivencia que adelanta desde el Plan 75/100 de Seguridad Humana.</w:t>
            </w: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Para el Subsecretario de Convivencia y Seguridad Ciudadana, Jonathan Nieto Blanco, la escuela de 'Fútbol para la Convivencia' se puso en marcha después de hacer un análisis de lo que es la convivencia en estos 19 sectores de Bogotá que presentan la mayor cantidad de homicidios.</w:t>
            </w:r>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 xml:space="preserve">“Creemos </w:t>
            </w:r>
            <w:r w:rsidR="00E673EF" w:rsidRPr="005E777F">
              <w:rPr>
                <w:rFonts w:ascii="Century Gothic" w:eastAsia="Times New Roman" w:hAnsi="Century Gothic" w:cs="Calibri"/>
                <w:bCs/>
                <w:color w:val="000000"/>
                <w:sz w:val="24"/>
                <w:szCs w:val="24"/>
                <w:lang w:eastAsia="es-CO"/>
              </w:rPr>
              <w:t>que,</w:t>
            </w:r>
            <w:r w:rsidRPr="005E777F">
              <w:rPr>
                <w:rFonts w:ascii="Century Gothic" w:eastAsia="Times New Roman" w:hAnsi="Century Gothic" w:cs="Calibri"/>
                <w:bCs/>
                <w:color w:val="000000"/>
                <w:sz w:val="24"/>
                <w:szCs w:val="24"/>
                <w:lang w:eastAsia="es-CO"/>
              </w:rPr>
              <w:t xml:space="preserve"> si se les dan oportunidades a los jóvenes en la ciudad, tendremos mejores indicadores de convivencia y así le ganaremos la guerra a la delincuencia”, advirtió.</w:t>
            </w: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Los niños que se vinculen a la escuela en el marco de Programa Sur de Convivencia, recibirán formación y prevención en derechos, paz, técnica futbolística y educación a través de talleres en valores y cultura ciudadana.</w:t>
            </w: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En cuanto a la participación de los padres de familia en este proyecto, ellos serán factores determinantes para el rescate y protección de los menores y así poder generar un proceso de convivencia familiar, aseguró Nieto Blanco.</w:t>
            </w: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Por su parte, Andrea, una de las jóvenes que integran uno de los clubes deportivos de una de las UPZ priorizadas, señaló que “más que el fútbol lo que necesitamos es convivencia, conocer gente buena y estar muy unidos. Que nos desquitemos jugando y haciendo el bien”, dijo.</w:t>
            </w: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Pr="005E777F"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Fuente:</w:t>
            </w:r>
          </w:p>
          <w:p w:rsidR="00253639" w:rsidRDefault="005E777F" w:rsidP="005E777F">
            <w:pPr>
              <w:spacing w:after="0" w:line="240" w:lineRule="auto"/>
              <w:jc w:val="both"/>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 xml:space="preserve">Secretaria Distrital de Gobierno (2014). Deporte y cultura, herramientas para la inclusión y la construcción de la paz en Bogotá. Recuperado de </w:t>
            </w:r>
            <w:hyperlink r:id="rId6" w:history="1">
              <w:r w:rsidRPr="00985C47">
                <w:rPr>
                  <w:rStyle w:val="Hipervnculo"/>
                  <w:rFonts w:ascii="Century Gothic" w:eastAsia="Times New Roman" w:hAnsi="Century Gothic" w:cs="Calibri"/>
                  <w:bCs/>
                  <w:sz w:val="24"/>
                  <w:szCs w:val="24"/>
                  <w:lang w:eastAsia="es-CO"/>
                </w:rPr>
                <w:t>http://www.gobiernobogota.gov.co/prensa/93-noticias/1079-deporte-y-cultura-herramientas-para-la-inclusion-y-la-construccion-de-la-paz-en-bogota</w:t>
              </w:r>
            </w:hyperlink>
          </w:p>
          <w:p w:rsidR="005E777F" w:rsidRDefault="005E777F" w:rsidP="005E777F">
            <w:pPr>
              <w:spacing w:after="0" w:line="240" w:lineRule="auto"/>
              <w:jc w:val="both"/>
              <w:rPr>
                <w:rFonts w:ascii="Century Gothic" w:eastAsia="Times New Roman" w:hAnsi="Century Gothic" w:cs="Calibri"/>
                <w:bCs/>
                <w:color w:val="000000"/>
                <w:sz w:val="24"/>
                <w:szCs w:val="24"/>
                <w:lang w:eastAsia="es-CO"/>
              </w:rPr>
            </w:pPr>
          </w:p>
          <w:p w:rsidR="005E777F" w:rsidRDefault="005E777F" w:rsidP="005E777F">
            <w:pPr>
              <w:spacing w:after="0" w:line="240" w:lineRule="auto"/>
              <w:jc w:val="center"/>
              <w:rPr>
                <w:rFonts w:ascii="Century Gothic" w:eastAsia="Times New Roman" w:hAnsi="Century Gothic" w:cs="Calibri"/>
                <w:bCs/>
                <w:color w:val="000000"/>
                <w:sz w:val="24"/>
                <w:szCs w:val="24"/>
                <w:lang w:eastAsia="es-CO"/>
              </w:rPr>
            </w:pPr>
            <w:r>
              <w:rPr>
                <w:noProof/>
              </w:rPr>
              <w:lastRenderedPageBreak/>
              <w:drawing>
                <wp:inline distT="0" distB="0" distL="0" distR="0" wp14:anchorId="59F2C2FB" wp14:editId="512EF2F8">
                  <wp:extent cx="4714875" cy="3727941"/>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16476" cy="3729207"/>
                          </a:xfrm>
                          <a:prstGeom prst="rect">
                            <a:avLst/>
                          </a:prstGeom>
                        </pic:spPr>
                      </pic:pic>
                    </a:graphicData>
                  </a:graphic>
                </wp:inline>
              </w:drawing>
            </w:r>
          </w:p>
          <w:p w:rsidR="005E777F" w:rsidRDefault="005E777F" w:rsidP="005E777F">
            <w:pPr>
              <w:spacing w:after="0" w:line="240" w:lineRule="auto"/>
              <w:jc w:val="center"/>
              <w:rPr>
                <w:rFonts w:ascii="Century Gothic" w:eastAsia="Times New Roman" w:hAnsi="Century Gothic" w:cs="Calibri"/>
                <w:bCs/>
                <w:color w:val="000000"/>
                <w:sz w:val="24"/>
                <w:szCs w:val="24"/>
                <w:lang w:eastAsia="es-CO"/>
              </w:rPr>
            </w:pPr>
            <w:r w:rsidRPr="005E777F">
              <w:rPr>
                <w:rFonts w:ascii="Century Gothic" w:eastAsia="Times New Roman" w:hAnsi="Century Gothic" w:cs="Calibri"/>
                <w:bCs/>
                <w:color w:val="000000"/>
                <w:sz w:val="24"/>
                <w:szCs w:val="24"/>
                <w:lang w:eastAsia="es-CO"/>
              </w:rPr>
              <w:t>Fuente: Secretaria de Cultural, Recreación y Deporte (2011). Plan Decenal de Cultural Bogotá D. C 2012-2021. Recuperado de: http://www.culturarecreacionydeporte.gov.co/sites/default/files/biblioteca-digital/plan_decenal_cultura.pdf</w:t>
            </w:r>
          </w:p>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r w:rsidR="00253639" w:rsidRPr="006D7424" w:rsidTr="008C3C3E">
        <w:trPr>
          <w:trHeight w:val="17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3639" w:rsidRDefault="00253639" w:rsidP="008C3C3E">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253639" w:rsidRDefault="00253639" w:rsidP="008C3C3E">
            <w:pPr>
              <w:spacing w:after="0" w:line="240" w:lineRule="auto"/>
              <w:jc w:val="both"/>
              <w:rPr>
                <w:rFonts w:ascii="Century Gothic" w:eastAsia="Times New Roman" w:hAnsi="Century Gothic" w:cs="Calibri"/>
                <w:bCs/>
                <w:color w:val="000000"/>
                <w:sz w:val="24"/>
                <w:szCs w:val="24"/>
                <w:lang w:eastAsia="es-CO"/>
              </w:rPr>
            </w:pPr>
          </w:p>
          <w:p w:rsidR="00253639" w:rsidRPr="006D7424" w:rsidRDefault="005E777F" w:rsidP="008C3C3E">
            <w:pPr>
              <w:spacing w:after="0" w:line="240" w:lineRule="auto"/>
              <w:jc w:val="both"/>
              <w:rPr>
                <w:rFonts w:ascii="Century Gothic" w:eastAsia="Times New Roman" w:hAnsi="Century Gothic" w:cs="Calibri"/>
                <w:color w:val="000000"/>
                <w:sz w:val="24"/>
                <w:szCs w:val="24"/>
                <w:lang w:eastAsia="es-CO"/>
              </w:rPr>
            </w:pPr>
            <w:r w:rsidRPr="005E777F">
              <w:rPr>
                <w:rFonts w:ascii="Century Gothic" w:eastAsia="Times New Roman" w:hAnsi="Century Gothic" w:cs="Calibri"/>
                <w:color w:val="000000"/>
                <w:sz w:val="24"/>
                <w:szCs w:val="24"/>
                <w:lang w:eastAsia="es-CO"/>
              </w:rPr>
              <w:t>De acuerdo con la información publicada por la Secretaria de Gobierno de Bogotá, el proyecto “Futbol para la convivencia” es una estrategia de Plan Decenal de Cultural de Bogotá, que pertenece al Subcampo (1)_________, a la dimensión (2)____________ que busca mejorar la tensión (3)__________ (Apóyese de la imagen Esquema General Plan Decenal de Cultura de Bogotá)</w:t>
            </w:r>
            <w:r>
              <w:rPr>
                <w:rFonts w:ascii="Century Gothic" w:eastAsia="Times New Roman" w:hAnsi="Century Gothic" w:cs="Calibri"/>
                <w:color w:val="000000"/>
                <w:sz w:val="24"/>
                <w:szCs w:val="24"/>
                <w:lang w:eastAsia="es-CO"/>
              </w:rPr>
              <w:t>.</w:t>
            </w:r>
          </w:p>
        </w:tc>
      </w:tr>
      <w:tr w:rsidR="00253639" w:rsidRPr="006D7424" w:rsidTr="008C3C3E">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53639" w:rsidRDefault="00253639"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8C270C" w:rsidRPr="00951DC3" w:rsidRDefault="00253639" w:rsidP="008C270C">
            <w:pPr>
              <w:spacing w:after="0" w:line="240" w:lineRule="auto"/>
              <w:rPr>
                <w:rFonts w:ascii="Century Gothic" w:eastAsia="Times New Roman" w:hAnsi="Century Gothic" w:cs="Calibri"/>
                <w:bCs/>
                <w:color w:val="000000"/>
                <w:sz w:val="24"/>
                <w:szCs w:val="24"/>
                <w:u w:val="single"/>
                <w:lang w:eastAsia="es-CO"/>
              </w:rPr>
            </w:pPr>
            <w:r w:rsidRPr="006D7424">
              <w:rPr>
                <w:rFonts w:ascii="Century Gothic" w:eastAsia="Times New Roman" w:hAnsi="Century Gothic" w:cs="Calibri"/>
                <w:b/>
                <w:bCs/>
                <w:color w:val="000000"/>
                <w:sz w:val="24"/>
                <w:szCs w:val="24"/>
                <w:lang w:eastAsia="es-CO"/>
              </w:rPr>
              <w:br/>
            </w:r>
            <w:r w:rsidR="008C270C" w:rsidRPr="008C270C">
              <w:rPr>
                <w:rFonts w:ascii="Century Gothic" w:eastAsia="Times New Roman" w:hAnsi="Century Gothic" w:cs="Calibri"/>
                <w:bCs/>
                <w:color w:val="000000"/>
                <w:sz w:val="24"/>
                <w:szCs w:val="24"/>
                <w:lang w:eastAsia="es-CO"/>
              </w:rPr>
              <w:t>a.</w:t>
            </w:r>
            <w:r w:rsidR="008C270C">
              <w:rPr>
                <w:rFonts w:ascii="Century Gothic" w:eastAsia="Times New Roman" w:hAnsi="Century Gothic" w:cs="Calibri"/>
                <w:bCs/>
                <w:color w:val="000000"/>
                <w:sz w:val="24"/>
                <w:szCs w:val="24"/>
                <w:lang w:eastAsia="es-CO"/>
              </w:rPr>
              <w:t xml:space="preserve"> </w:t>
            </w:r>
            <w:r w:rsidR="008C270C" w:rsidRPr="008C270C">
              <w:rPr>
                <w:rFonts w:ascii="Century Gothic" w:eastAsia="Times New Roman" w:hAnsi="Century Gothic" w:cs="Calibri"/>
                <w:bCs/>
                <w:color w:val="000000"/>
                <w:sz w:val="24"/>
                <w:szCs w:val="24"/>
                <w:lang w:eastAsia="es-CO"/>
              </w:rPr>
              <w:t xml:space="preserve">(1) </w:t>
            </w:r>
            <w:r w:rsidR="008C270C" w:rsidRPr="00951DC3">
              <w:rPr>
                <w:rFonts w:ascii="Century Gothic" w:eastAsia="Times New Roman" w:hAnsi="Century Gothic" w:cs="Calibri"/>
                <w:bCs/>
                <w:color w:val="000000"/>
                <w:sz w:val="24"/>
                <w:szCs w:val="24"/>
                <w:u w:val="single"/>
                <w:lang w:eastAsia="es-CO"/>
              </w:rPr>
              <w:t>Artes</w:t>
            </w:r>
            <w:r w:rsidR="008C270C" w:rsidRPr="008C270C">
              <w:rPr>
                <w:rFonts w:ascii="Century Gothic" w:eastAsia="Times New Roman" w:hAnsi="Century Gothic" w:cs="Calibri"/>
                <w:bCs/>
                <w:color w:val="000000"/>
                <w:sz w:val="24"/>
                <w:szCs w:val="24"/>
                <w:lang w:eastAsia="es-CO"/>
              </w:rPr>
              <w:t>, (2) A</w:t>
            </w:r>
            <w:r w:rsidR="008C270C" w:rsidRPr="00951DC3">
              <w:rPr>
                <w:rFonts w:ascii="Century Gothic" w:eastAsia="Times New Roman" w:hAnsi="Century Gothic" w:cs="Calibri"/>
                <w:bCs/>
                <w:color w:val="000000"/>
                <w:sz w:val="24"/>
                <w:szCs w:val="24"/>
                <w:u w:val="single"/>
                <w:lang w:eastAsia="es-CO"/>
              </w:rPr>
              <w:t>propiación</w:t>
            </w:r>
            <w:r w:rsidR="008C270C" w:rsidRPr="008C270C">
              <w:rPr>
                <w:rFonts w:ascii="Century Gothic" w:eastAsia="Times New Roman" w:hAnsi="Century Gothic" w:cs="Calibri"/>
                <w:bCs/>
                <w:color w:val="000000"/>
                <w:sz w:val="24"/>
                <w:szCs w:val="24"/>
                <w:lang w:eastAsia="es-CO"/>
              </w:rPr>
              <w:t xml:space="preserve">, (3) </w:t>
            </w:r>
            <w:r w:rsidR="008C270C" w:rsidRPr="00951DC3">
              <w:rPr>
                <w:rFonts w:ascii="Century Gothic" w:eastAsia="Times New Roman" w:hAnsi="Century Gothic" w:cs="Calibri"/>
                <w:bCs/>
                <w:color w:val="000000"/>
                <w:sz w:val="24"/>
                <w:szCs w:val="24"/>
                <w:u w:val="single"/>
                <w:lang w:eastAsia="es-CO"/>
              </w:rPr>
              <w:t xml:space="preserve">Conocimiento académico-saber empírico.  </w:t>
            </w:r>
          </w:p>
          <w:p w:rsidR="008C270C" w:rsidRPr="008C270C" w:rsidRDefault="008C270C" w:rsidP="008C270C">
            <w:pPr>
              <w:spacing w:after="0" w:line="240" w:lineRule="auto"/>
              <w:rPr>
                <w:rFonts w:ascii="Century Gothic" w:eastAsia="Times New Roman" w:hAnsi="Century Gothic" w:cs="Calibri"/>
                <w:bCs/>
                <w:color w:val="000000"/>
                <w:sz w:val="24"/>
                <w:szCs w:val="24"/>
                <w:lang w:eastAsia="es-CO"/>
              </w:rPr>
            </w:pPr>
          </w:p>
          <w:p w:rsidR="008C270C" w:rsidRPr="008C270C" w:rsidRDefault="008C270C" w:rsidP="008C270C">
            <w:pPr>
              <w:spacing w:after="0" w:line="240" w:lineRule="auto"/>
              <w:rPr>
                <w:rFonts w:ascii="Century Gothic" w:eastAsia="Times New Roman" w:hAnsi="Century Gothic" w:cs="Calibri"/>
                <w:bCs/>
                <w:color w:val="000000"/>
                <w:sz w:val="24"/>
                <w:szCs w:val="24"/>
                <w:lang w:eastAsia="es-CO"/>
              </w:rPr>
            </w:pPr>
            <w:r w:rsidRPr="008C270C">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8C270C">
              <w:rPr>
                <w:rFonts w:ascii="Century Gothic" w:eastAsia="Times New Roman" w:hAnsi="Century Gothic" w:cs="Calibri"/>
                <w:bCs/>
                <w:color w:val="000000"/>
                <w:sz w:val="24"/>
                <w:szCs w:val="24"/>
                <w:lang w:eastAsia="es-CO"/>
              </w:rPr>
              <w:t xml:space="preserve">1) </w:t>
            </w:r>
            <w:r w:rsidRPr="00951DC3">
              <w:rPr>
                <w:rFonts w:ascii="Century Gothic" w:eastAsia="Times New Roman" w:hAnsi="Century Gothic" w:cs="Calibri"/>
                <w:bCs/>
                <w:color w:val="000000"/>
                <w:sz w:val="24"/>
                <w:szCs w:val="24"/>
                <w:u w:val="single"/>
                <w:lang w:eastAsia="es-CO"/>
              </w:rPr>
              <w:t>Artes</w:t>
            </w:r>
            <w:r w:rsidRPr="008C270C">
              <w:rPr>
                <w:rFonts w:ascii="Century Gothic" w:eastAsia="Times New Roman" w:hAnsi="Century Gothic" w:cs="Calibri"/>
                <w:bCs/>
                <w:color w:val="000000"/>
                <w:sz w:val="24"/>
                <w:szCs w:val="24"/>
                <w:lang w:eastAsia="es-CO"/>
              </w:rPr>
              <w:t>, (2)</w:t>
            </w:r>
            <w:r w:rsidRPr="00951DC3">
              <w:rPr>
                <w:rFonts w:ascii="Century Gothic" w:eastAsia="Times New Roman" w:hAnsi="Century Gothic" w:cs="Calibri"/>
                <w:bCs/>
                <w:color w:val="000000"/>
                <w:sz w:val="24"/>
                <w:szCs w:val="24"/>
                <w:u w:val="single"/>
                <w:lang w:eastAsia="es-CO"/>
              </w:rPr>
              <w:t xml:space="preserve"> Investigación</w:t>
            </w:r>
            <w:r w:rsidRPr="008C270C">
              <w:rPr>
                <w:rFonts w:ascii="Century Gothic" w:eastAsia="Times New Roman" w:hAnsi="Century Gothic" w:cs="Calibri"/>
                <w:bCs/>
                <w:color w:val="000000"/>
                <w:sz w:val="24"/>
                <w:szCs w:val="24"/>
                <w:lang w:eastAsia="es-CO"/>
              </w:rPr>
              <w:t xml:space="preserve">, (3) </w:t>
            </w:r>
            <w:r w:rsidRPr="00951DC3">
              <w:rPr>
                <w:rFonts w:ascii="Century Gothic" w:eastAsia="Times New Roman" w:hAnsi="Century Gothic" w:cs="Calibri"/>
                <w:bCs/>
                <w:color w:val="000000"/>
                <w:sz w:val="24"/>
                <w:szCs w:val="24"/>
                <w:u w:val="single"/>
                <w:lang w:eastAsia="es-CO"/>
              </w:rPr>
              <w:t>Educación formal-formación artística.</w:t>
            </w:r>
            <w:r w:rsidRPr="008C270C">
              <w:rPr>
                <w:rFonts w:ascii="Century Gothic" w:eastAsia="Times New Roman" w:hAnsi="Century Gothic" w:cs="Calibri"/>
                <w:bCs/>
                <w:color w:val="000000"/>
                <w:sz w:val="24"/>
                <w:szCs w:val="24"/>
                <w:lang w:eastAsia="es-CO"/>
              </w:rPr>
              <w:t xml:space="preserve">  </w:t>
            </w:r>
          </w:p>
          <w:p w:rsidR="008C270C" w:rsidRPr="008C270C" w:rsidRDefault="008C270C" w:rsidP="008C270C">
            <w:pPr>
              <w:spacing w:after="0" w:line="240" w:lineRule="auto"/>
              <w:rPr>
                <w:rFonts w:ascii="Century Gothic" w:eastAsia="Times New Roman" w:hAnsi="Century Gothic" w:cs="Calibri"/>
                <w:bCs/>
                <w:color w:val="000000"/>
                <w:sz w:val="24"/>
                <w:szCs w:val="24"/>
                <w:lang w:eastAsia="es-CO"/>
              </w:rPr>
            </w:pPr>
          </w:p>
          <w:p w:rsidR="008C270C" w:rsidRPr="008C270C" w:rsidRDefault="008C270C" w:rsidP="008C270C">
            <w:pPr>
              <w:spacing w:after="0" w:line="240" w:lineRule="auto"/>
              <w:rPr>
                <w:rFonts w:ascii="Century Gothic" w:eastAsia="Times New Roman" w:hAnsi="Century Gothic" w:cs="Calibri"/>
                <w:bCs/>
                <w:color w:val="000000"/>
                <w:sz w:val="24"/>
                <w:szCs w:val="24"/>
                <w:lang w:eastAsia="es-CO"/>
              </w:rPr>
            </w:pPr>
            <w:r w:rsidRPr="008C270C">
              <w:rPr>
                <w:rFonts w:ascii="Century Gothic" w:eastAsia="Times New Roman" w:hAnsi="Century Gothic" w:cs="Calibri"/>
                <w:bCs/>
                <w:color w:val="000000"/>
                <w:sz w:val="24"/>
                <w:szCs w:val="24"/>
                <w:lang w:eastAsia="es-CO"/>
              </w:rPr>
              <w:t>c.</w:t>
            </w:r>
            <w:r>
              <w:rPr>
                <w:rFonts w:ascii="Century Gothic" w:eastAsia="Times New Roman" w:hAnsi="Century Gothic" w:cs="Calibri"/>
                <w:bCs/>
                <w:color w:val="000000"/>
                <w:sz w:val="24"/>
                <w:szCs w:val="24"/>
                <w:lang w:eastAsia="es-CO"/>
              </w:rPr>
              <w:t xml:space="preserve"> </w:t>
            </w:r>
            <w:r w:rsidRPr="008C270C">
              <w:rPr>
                <w:rFonts w:ascii="Century Gothic" w:eastAsia="Times New Roman" w:hAnsi="Century Gothic" w:cs="Calibri"/>
                <w:bCs/>
                <w:color w:val="000000"/>
                <w:sz w:val="24"/>
                <w:szCs w:val="24"/>
                <w:lang w:eastAsia="es-CO"/>
              </w:rPr>
              <w:t xml:space="preserve">(1) </w:t>
            </w:r>
            <w:r w:rsidRPr="00951DC3">
              <w:rPr>
                <w:rFonts w:ascii="Century Gothic" w:eastAsia="Times New Roman" w:hAnsi="Century Gothic" w:cs="Calibri"/>
                <w:bCs/>
                <w:color w:val="000000"/>
                <w:sz w:val="24"/>
                <w:szCs w:val="24"/>
                <w:u w:val="single"/>
                <w:lang w:eastAsia="es-CO"/>
              </w:rPr>
              <w:t>Patrimonio Cultural</w:t>
            </w:r>
            <w:r w:rsidRPr="008C270C">
              <w:rPr>
                <w:rFonts w:ascii="Century Gothic" w:eastAsia="Times New Roman" w:hAnsi="Century Gothic" w:cs="Calibri"/>
                <w:bCs/>
                <w:color w:val="000000"/>
                <w:sz w:val="24"/>
                <w:szCs w:val="24"/>
                <w:lang w:eastAsia="es-CO"/>
              </w:rPr>
              <w:t xml:space="preserve">, (2) </w:t>
            </w:r>
            <w:r w:rsidRPr="00951DC3">
              <w:rPr>
                <w:rFonts w:ascii="Century Gothic" w:eastAsia="Times New Roman" w:hAnsi="Century Gothic" w:cs="Calibri"/>
                <w:bCs/>
                <w:color w:val="000000"/>
                <w:sz w:val="24"/>
                <w:szCs w:val="24"/>
                <w:u w:val="single"/>
                <w:lang w:eastAsia="es-CO"/>
              </w:rPr>
              <w:t>Protección</w:t>
            </w:r>
            <w:r w:rsidRPr="008C270C">
              <w:rPr>
                <w:rFonts w:ascii="Century Gothic" w:eastAsia="Times New Roman" w:hAnsi="Century Gothic" w:cs="Calibri"/>
                <w:bCs/>
                <w:color w:val="000000"/>
                <w:sz w:val="24"/>
                <w:szCs w:val="24"/>
                <w:lang w:eastAsia="es-CO"/>
              </w:rPr>
              <w:t xml:space="preserve">, (3) </w:t>
            </w:r>
            <w:r w:rsidRPr="00951DC3">
              <w:rPr>
                <w:rFonts w:ascii="Century Gothic" w:eastAsia="Times New Roman" w:hAnsi="Century Gothic" w:cs="Calibri"/>
                <w:bCs/>
                <w:color w:val="000000"/>
                <w:sz w:val="24"/>
                <w:szCs w:val="24"/>
                <w:u w:val="single"/>
                <w:lang w:eastAsia="es-CO"/>
              </w:rPr>
              <w:t>Saber tradicional-conocimiento académico</w:t>
            </w:r>
            <w:r w:rsidRPr="008C270C">
              <w:rPr>
                <w:rFonts w:ascii="Century Gothic" w:eastAsia="Times New Roman" w:hAnsi="Century Gothic" w:cs="Calibri"/>
                <w:bCs/>
                <w:color w:val="000000"/>
                <w:sz w:val="24"/>
                <w:szCs w:val="24"/>
                <w:lang w:eastAsia="es-CO"/>
              </w:rPr>
              <w:t>.</w:t>
            </w:r>
          </w:p>
          <w:p w:rsidR="008C270C" w:rsidRDefault="008C270C" w:rsidP="008C270C">
            <w:pPr>
              <w:spacing w:after="0" w:line="240" w:lineRule="auto"/>
              <w:rPr>
                <w:rFonts w:ascii="Century Gothic" w:eastAsia="Times New Roman" w:hAnsi="Century Gothic" w:cs="Calibri"/>
                <w:bCs/>
                <w:color w:val="000000"/>
                <w:sz w:val="24"/>
                <w:szCs w:val="24"/>
                <w:lang w:eastAsia="es-CO"/>
              </w:rPr>
            </w:pPr>
          </w:p>
          <w:p w:rsidR="00253639" w:rsidRPr="008C270C" w:rsidRDefault="008C270C" w:rsidP="008C270C">
            <w:pPr>
              <w:spacing w:after="0" w:line="240" w:lineRule="auto"/>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d. </w:t>
            </w:r>
            <w:r w:rsidRPr="008C270C">
              <w:rPr>
                <w:rFonts w:ascii="Century Gothic" w:eastAsia="Times New Roman" w:hAnsi="Century Gothic" w:cs="Calibri"/>
                <w:bCs/>
                <w:color w:val="000000"/>
                <w:sz w:val="24"/>
                <w:szCs w:val="24"/>
                <w:lang w:eastAsia="es-CO"/>
              </w:rPr>
              <w:t xml:space="preserve">(1) </w:t>
            </w:r>
            <w:r w:rsidRPr="00951DC3">
              <w:rPr>
                <w:rFonts w:ascii="Century Gothic" w:eastAsia="Times New Roman" w:hAnsi="Century Gothic" w:cs="Calibri"/>
                <w:bCs/>
                <w:color w:val="000000"/>
                <w:sz w:val="24"/>
                <w:szCs w:val="24"/>
                <w:u w:val="single"/>
                <w:lang w:eastAsia="es-CO"/>
              </w:rPr>
              <w:t>Prácticas Culturales</w:t>
            </w:r>
            <w:r w:rsidRPr="008C270C">
              <w:rPr>
                <w:rFonts w:ascii="Century Gothic" w:eastAsia="Times New Roman" w:hAnsi="Century Gothic" w:cs="Calibri"/>
                <w:bCs/>
                <w:color w:val="000000"/>
                <w:sz w:val="24"/>
                <w:szCs w:val="24"/>
                <w:lang w:eastAsia="es-CO"/>
              </w:rPr>
              <w:t xml:space="preserve">, (2) </w:t>
            </w:r>
            <w:r w:rsidRPr="00951DC3">
              <w:rPr>
                <w:rFonts w:ascii="Century Gothic" w:eastAsia="Times New Roman" w:hAnsi="Century Gothic" w:cs="Calibri"/>
                <w:bCs/>
                <w:color w:val="000000"/>
                <w:sz w:val="24"/>
                <w:szCs w:val="24"/>
                <w:u w:val="single"/>
                <w:lang w:eastAsia="es-CO"/>
              </w:rPr>
              <w:t>Apropiación</w:t>
            </w:r>
            <w:r w:rsidRPr="008C270C">
              <w:rPr>
                <w:rFonts w:ascii="Century Gothic" w:eastAsia="Times New Roman" w:hAnsi="Century Gothic" w:cs="Calibri"/>
                <w:bCs/>
                <w:color w:val="000000"/>
                <w:sz w:val="24"/>
                <w:szCs w:val="24"/>
                <w:lang w:eastAsia="es-CO"/>
              </w:rPr>
              <w:t xml:space="preserve">, (3) </w:t>
            </w:r>
            <w:bookmarkStart w:id="0" w:name="_GoBack"/>
            <w:r w:rsidRPr="00951DC3">
              <w:rPr>
                <w:rFonts w:ascii="Century Gothic" w:eastAsia="Times New Roman" w:hAnsi="Century Gothic" w:cs="Calibri"/>
                <w:bCs/>
                <w:color w:val="000000"/>
                <w:sz w:val="24"/>
                <w:szCs w:val="24"/>
                <w:u w:val="single"/>
                <w:lang w:eastAsia="es-CO"/>
              </w:rPr>
              <w:t>Discriminación-reconocimiento</w:t>
            </w:r>
            <w:bookmarkEnd w:id="0"/>
            <w:r w:rsidRPr="008C270C">
              <w:rPr>
                <w:rFonts w:ascii="Century Gothic" w:eastAsia="Times New Roman" w:hAnsi="Century Gothic" w:cs="Calibri"/>
                <w:bCs/>
                <w:color w:val="000000"/>
                <w:sz w:val="24"/>
                <w:szCs w:val="24"/>
                <w:lang w:eastAsia="es-CO"/>
              </w:rPr>
              <w:t>.</w:t>
            </w:r>
          </w:p>
        </w:tc>
      </w:tr>
      <w:tr w:rsidR="00253639" w:rsidRPr="006D7424" w:rsidTr="008C3C3E">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r w:rsidR="00253639" w:rsidRPr="006D7424" w:rsidTr="008C3C3E">
        <w:trPr>
          <w:trHeight w:val="1147"/>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r w:rsidR="00253639" w:rsidRPr="006D7424" w:rsidTr="008C3C3E">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53639" w:rsidRPr="006D7424" w:rsidRDefault="00253639" w:rsidP="008C3C3E">
            <w:pPr>
              <w:spacing w:after="0" w:line="240" w:lineRule="auto"/>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253639" w:rsidRPr="006D7424" w:rsidTr="008C3C3E">
        <w:trPr>
          <w:trHeight w:val="12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4C" w:rsidRPr="0003294C" w:rsidRDefault="0003294C" w:rsidP="0003294C">
            <w:pPr>
              <w:spacing w:after="0" w:line="240" w:lineRule="auto"/>
              <w:rPr>
                <w:rFonts w:ascii="Century Gothic" w:eastAsia="Times New Roman" w:hAnsi="Century Gothic" w:cs="Calibri"/>
                <w:sz w:val="24"/>
                <w:szCs w:val="24"/>
                <w:lang w:eastAsia="es-CO"/>
              </w:rPr>
            </w:pPr>
            <w:r w:rsidRPr="0003294C">
              <w:rPr>
                <w:rFonts w:ascii="Century Gothic" w:eastAsia="Times New Roman" w:hAnsi="Century Gothic" w:cs="Calibri"/>
                <w:sz w:val="24"/>
                <w:szCs w:val="24"/>
                <w:lang w:eastAsia="es-CO"/>
              </w:rPr>
              <w:t>a.</w:t>
            </w:r>
            <w:r w:rsidRPr="0003294C">
              <w:rPr>
                <w:rFonts w:ascii="Century Gothic" w:eastAsia="Times New Roman" w:hAnsi="Century Gothic" w:cs="Calibri"/>
                <w:sz w:val="24"/>
                <w:szCs w:val="24"/>
                <w:lang w:eastAsia="es-CO"/>
              </w:rPr>
              <w:tab/>
              <w:t xml:space="preserve">El proyecto “Futbol para la convivencia” pertenece al </w:t>
            </w:r>
            <w:r w:rsidRPr="0003294C">
              <w:rPr>
                <w:rFonts w:ascii="Century Gothic" w:eastAsia="Times New Roman" w:hAnsi="Century Gothic" w:cs="Calibri"/>
                <w:sz w:val="24"/>
                <w:szCs w:val="24"/>
                <w:u w:val="single"/>
                <w:lang w:eastAsia="es-CO"/>
              </w:rPr>
              <w:t>Subcampo Artes</w:t>
            </w:r>
            <w:r w:rsidRPr="0003294C">
              <w:rPr>
                <w:rFonts w:ascii="Century Gothic" w:eastAsia="Times New Roman" w:hAnsi="Century Gothic" w:cs="Calibri"/>
                <w:sz w:val="24"/>
                <w:szCs w:val="24"/>
                <w:lang w:eastAsia="es-CO"/>
              </w:rPr>
              <w:t xml:space="preserve">, dimensión </w:t>
            </w:r>
            <w:r w:rsidRPr="0003294C">
              <w:rPr>
                <w:rFonts w:ascii="Century Gothic" w:eastAsia="Times New Roman" w:hAnsi="Century Gothic" w:cs="Calibri"/>
                <w:sz w:val="24"/>
                <w:szCs w:val="24"/>
                <w:u w:val="single"/>
                <w:lang w:eastAsia="es-CO"/>
              </w:rPr>
              <w:t>Apropiación</w:t>
            </w:r>
            <w:r w:rsidRPr="0003294C">
              <w:rPr>
                <w:rFonts w:ascii="Century Gothic" w:eastAsia="Times New Roman" w:hAnsi="Century Gothic" w:cs="Calibri"/>
                <w:sz w:val="24"/>
                <w:szCs w:val="24"/>
                <w:lang w:eastAsia="es-CO"/>
              </w:rPr>
              <w:t xml:space="preserve"> y busca mejorar la tensión </w:t>
            </w:r>
            <w:r w:rsidRPr="0003294C">
              <w:rPr>
                <w:rFonts w:ascii="Century Gothic" w:eastAsia="Times New Roman" w:hAnsi="Century Gothic" w:cs="Calibri"/>
                <w:sz w:val="24"/>
                <w:szCs w:val="24"/>
                <w:u w:val="single"/>
                <w:lang w:eastAsia="es-CO"/>
              </w:rPr>
              <w:t>Conocimiento académico-saber empírico</w:t>
            </w:r>
            <w:r w:rsidRPr="0003294C">
              <w:rPr>
                <w:rFonts w:ascii="Century Gothic" w:eastAsia="Times New Roman" w:hAnsi="Century Gothic" w:cs="Calibri"/>
                <w:sz w:val="24"/>
                <w:szCs w:val="24"/>
                <w:lang w:eastAsia="es-CO"/>
              </w:rPr>
              <w:t xml:space="preserve">.  </w:t>
            </w:r>
          </w:p>
          <w:p w:rsidR="0003294C" w:rsidRPr="0003294C" w:rsidRDefault="0003294C" w:rsidP="0003294C">
            <w:pPr>
              <w:spacing w:after="0" w:line="240" w:lineRule="auto"/>
              <w:rPr>
                <w:rFonts w:ascii="Century Gothic" w:eastAsia="Times New Roman" w:hAnsi="Century Gothic" w:cs="Calibri"/>
                <w:sz w:val="24"/>
                <w:szCs w:val="24"/>
                <w:lang w:eastAsia="es-CO"/>
              </w:rPr>
            </w:pPr>
          </w:p>
          <w:p w:rsidR="00253639" w:rsidRPr="006D7424" w:rsidRDefault="0003294C" w:rsidP="0003294C">
            <w:pPr>
              <w:spacing w:after="0" w:line="240" w:lineRule="auto"/>
              <w:jc w:val="both"/>
              <w:rPr>
                <w:rFonts w:ascii="Century Gothic" w:eastAsia="Times New Roman" w:hAnsi="Century Gothic" w:cs="Calibri"/>
                <w:sz w:val="24"/>
                <w:szCs w:val="24"/>
                <w:lang w:eastAsia="es-CO"/>
              </w:rPr>
            </w:pPr>
            <w:r w:rsidRPr="0003294C">
              <w:rPr>
                <w:rFonts w:ascii="Century Gothic" w:eastAsia="Times New Roman" w:hAnsi="Century Gothic" w:cs="Calibri"/>
                <w:sz w:val="24"/>
                <w:szCs w:val="24"/>
                <w:lang w:eastAsia="es-CO"/>
              </w:rPr>
              <w:t>No es correcta porque el proyecto “Futbol para la convivencia” pertenece al Subcampo Prácticas Culturales. Si es un proyecto que pertenece a la dimensión apropiación y no busca mejorar la tensión Conocimiento académico –saber empírico, pues el proyecto busca mejorar la convivencia por medio del futbol.</w:t>
            </w:r>
          </w:p>
        </w:tc>
      </w:tr>
      <w:tr w:rsidR="00253639" w:rsidRPr="006D7424"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03294C" w:rsidRPr="0003294C" w:rsidRDefault="0003294C" w:rsidP="0003294C">
            <w:pPr>
              <w:spacing w:after="0" w:line="240" w:lineRule="auto"/>
              <w:jc w:val="both"/>
              <w:rPr>
                <w:rFonts w:ascii="Century Gothic" w:eastAsia="Times New Roman" w:hAnsi="Century Gothic" w:cs="Calibri"/>
                <w:sz w:val="24"/>
                <w:szCs w:val="24"/>
                <w:lang w:eastAsia="es-CO"/>
              </w:rPr>
            </w:pPr>
            <w:r w:rsidRPr="0003294C">
              <w:rPr>
                <w:rFonts w:ascii="Century Gothic" w:eastAsia="Times New Roman" w:hAnsi="Century Gothic" w:cs="Calibri"/>
                <w:sz w:val="24"/>
                <w:szCs w:val="24"/>
                <w:lang w:eastAsia="es-CO"/>
              </w:rPr>
              <w:t>b.</w:t>
            </w:r>
            <w:r w:rsidRPr="0003294C">
              <w:rPr>
                <w:rFonts w:ascii="Century Gothic" w:eastAsia="Times New Roman" w:hAnsi="Century Gothic" w:cs="Calibri"/>
                <w:sz w:val="24"/>
                <w:szCs w:val="24"/>
                <w:lang w:eastAsia="es-CO"/>
              </w:rPr>
              <w:tab/>
              <w:t xml:space="preserve">El proyecto “Futbol para la convivencia” pertenece al </w:t>
            </w:r>
            <w:r w:rsidRPr="00C72EB1">
              <w:rPr>
                <w:rFonts w:ascii="Century Gothic" w:eastAsia="Times New Roman" w:hAnsi="Century Gothic" w:cs="Calibri"/>
                <w:sz w:val="24"/>
                <w:szCs w:val="24"/>
                <w:u w:val="single"/>
                <w:lang w:eastAsia="es-CO"/>
              </w:rPr>
              <w:t>Subcampo Arte</w:t>
            </w:r>
            <w:r w:rsidRPr="0003294C">
              <w:rPr>
                <w:rFonts w:ascii="Century Gothic" w:eastAsia="Times New Roman" w:hAnsi="Century Gothic" w:cs="Calibri"/>
                <w:sz w:val="24"/>
                <w:szCs w:val="24"/>
                <w:lang w:eastAsia="es-CO"/>
              </w:rPr>
              <w:t xml:space="preserve">s, dimensión </w:t>
            </w:r>
            <w:r w:rsidRPr="00C72EB1">
              <w:rPr>
                <w:rFonts w:ascii="Century Gothic" w:eastAsia="Times New Roman" w:hAnsi="Century Gothic" w:cs="Calibri"/>
                <w:sz w:val="24"/>
                <w:szCs w:val="24"/>
                <w:u w:val="single"/>
                <w:lang w:eastAsia="es-CO"/>
              </w:rPr>
              <w:t>Investigación</w:t>
            </w:r>
            <w:r w:rsidRPr="0003294C">
              <w:rPr>
                <w:rFonts w:ascii="Century Gothic" w:eastAsia="Times New Roman" w:hAnsi="Century Gothic" w:cs="Calibri"/>
                <w:sz w:val="24"/>
                <w:szCs w:val="24"/>
                <w:lang w:eastAsia="es-CO"/>
              </w:rPr>
              <w:t xml:space="preserve"> y busca mejorar la tensión </w:t>
            </w:r>
            <w:r w:rsidRPr="00C72EB1">
              <w:rPr>
                <w:rFonts w:ascii="Century Gothic" w:eastAsia="Times New Roman" w:hAnsi="Century Gothic" w:cs="Calibri"/>
                <w:sz w:val="24"/>
                <w:szCs w:val="24"/>
                <w:u w:val="single"/>
                <w:lang w:eastAsia="es-CO"/>
              </w:rPr>
              <w:t>Educación formal-formación artística</w:t>
            </w:r>
            <w:r w:rsidRPr="0003294C">
              <w:rPr>
                <w:rFonts w:ascii="Century Gothic" w:eastAsia="Times New Roman" w:hAnsi="Century Gothic" w:cs="Calibri"/>
                <w:sz w:val="24"/>
                <w:szCs w:val="24"/>
                <w:lang w:eastAsia="es-CO"/>
              </w:rPr>
              <w:t xml:space="preserve">.  </w:t>
            </w:r>
          </w:p>
          <w:p w:rsidR="0003294C" w:rsidRPr="0003294C" w:rsidRDefault="0003294C" w:rsidP="0003294C">
            <w:pPr>
              <w:spacing w:after="0" w:line="240" w:lineRule="auto"/>
              <w:rPr>
                <w:rFonts w:ascii="Century Gothic" w:eastAsia="Times New Roman" w:hAnsi="Century Gothic" w:cs="Calibri"/>
                <w:sz w:val="24"/>
                <w:szCs w:val="24"/>
                <w:lang w:eastAsia="es-CO"/>
              </w:rPr>
            </w:pPr>
          </w:p>
          <w:p w:rsidR="00253639" w:rsidRPr="006D7424" w:rsidRDefault="0003294C" w:rsidP="0003294C">
            <w:pPr>
              <w:spacing w:after="0" w:line="240" w:lineRule="auto"/>
              <w:jc w:val="both"/>
              <w:rPr>
                <w:rFonts w:ascii="Century Gothic" w:eastAsia="Times New Roman" w:hAnsi="Century Gothic" w:cs="Calibri"/>
                <w:sz w:val="24"/>
                <w:szCs w:val="24"/>
                <w:lang w:eastAsia="es-CO"/>
              </w:rPr>
            </w:pPr>
            <w:r w:rsidRPr="0003294C">
              <w:rPr>
                <w:rFonts w:ascii="Century Gothic" w:eastAsia="Times New Roman" w:hAnsi="Century Gothic" w:cs="Calibri"/>
                <w:sz w:val="24"/>
                <w:szCs w:val="24"/>
                <w:lang w:eastAsia="es-CO"/>
              </w:rPr>
              <w:t xml:space="preserve">No es correcta porque el proyecto “Futbol para la </w:t>
            </w:r>
            <w:proofErr w:type="spellStart"/>
            <w:r w:rsidRPr="0003294C">
              <w:rPr>
                <w:rFonts w:ascii="Century Gothic" w:eastAsia="Times New Roman" w:hAnsi="Century Gothic" w:cs="Calibri"/>
                <w:sz w:val="24"/>
                <w:szCs w:val="24"/>
                <w:lang w:eastAsia="es-CO"/>
              </w:rPr>
              <w:t>conviviencia</w:t>
            </w:r>
            <w:proofErr w:type="spellEnd"/>
            <w:r w:rsidRPr="0003294C">
              <w:rPr>
                <w:rFonts w:ascii="Century Gothic" w:eastAsia="Times New Roman" w:hAnsi="Century Gothic" w:cs="Calibri"/>
                <w:sz w:val="24"/>
                <w:szCs w:val="24"/>
                <w:lang w:eastAsia="es-CO"/>
              </w:rPr>
              <w:t>” pertenece al Subcampo Prácticas Culturales. No es un proyecto que pertenezca a la dimensión investigación y no busca mejorar la tensión Educación formal-formación artística, pues el proyecto lo busca mejorar la convivencia ciudadana por medio del futbol.</w:t>
            </w:r>
          </w:p>
        </w:tc>
      </w:tr>
      <w:tr w:rsidR="00253639" w:rsidRPr="006D7424" w:rsidTr="008C3C3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2EB1" w:rsidRPr="00C72EB1" w:rsidRDefault="00C72EB1" w:rsidP="00C72EB1">
            <w:pPr>
              <w:spacing w:after="0" w:line="240" w:lineRule="auto"/>
              <w:rPr>
                <w:rFonts w:ascii="Century Gothic" w:eastAsia="Times New Roman" w:hAnsi="Century Gothic" w:cs="Calibri"/>
                <w:sz w:val="24"/>
                <w:szCs w:val="24"/>
                <w:lang w:eastAsia="es-CO"/>
              </w:rPr>
            </w:pPr>
            <w:r w:rsidRPr="00C72EB1">
              <w:rPr>
                <w:rFonts w:ascii="Century Gothic" w:eastAsia="Times New Roman" w:hAnsi="Century Gothic" w:cs="Calibri"/>
                <w:sz w:val="24"/>
                <w:szCs w:val="24"/>
                <w:lang w:eastAsia="es-CO"/>
              </w:rPr>
              <w:t>c.</w:t>
            </w:r>
            <w:r w:rsidRPr="00C72EB1">
              <w:rPr>
                <w:rFonts w:ascii="Century Gothic" w:eastAsia="Times New Roman" w:hAnsi="Century Gothic" w:cs="Calibri"/>
                <w:sz w:val="24"/>
                <w:szCs w:val="24"/>
                <w:lang w:eastAsia="es-CO"/>
              </w:rPr>
              <w:tab/>
              <w:t xml:space="preserve">El proyecto “Futbol para la convivencia” pertenece al Subcampo </w:t>
            </w:r>
            <w:r w:rsidRPr="00C72EB1">
              <w:rPr>
                <w:rFonts w:ascii="Century Gothic" w:eastAsia="Times New Roman" w:hAnsi="Century Gothic" w:cs="Calibri"/>
                <w:sz w:val="24"/>
                <w:szCs w:val="24"/>
                <w:u w:val="single"/>
                <w:lang w:eastAsia="es-CO"/>
              </w:rPr>
              <w:t>Patrimonio Cultural</w:t>
            </w:r>
            <w:r w:rsidRPr="00C72EB1">
              <w:rPr>
                <w:rFonts w:ascii="Century Gothic" w:eastAsia="Times New Roman" w:hAnsi="Century Gothic" w:cs="Calibri"/>
                <w:sz w:val="24"/>
                <w:szCs w:val="24"/>
                <w:lang w:eastAsia="es-CO"/>
              </w:rPr>
              <w:t xml:space="preserve">, dimensión </w:t>
            </w:r>
            <w:r w:rsidRPr="00C72EB1">
              <w:rPr>
                <w:rFonts w:ascii="Century Gothic" w:eastAsia="Times New Roman" w:hAnsi="Century Gothic" w:cs="Calibri"/>
                <w:sz w:val="24"/>
                <w:szCs w:val="24"/>
                <w:u w:val="single"/>
                <w:lang w:eastAsia="es-CO"/>
              </w:rPr>
              <w:t>Protección</w:t>
            </w:r>
            <w:r w:rsidRPr="00C72EB1">
              <w:rPr>
                <w:rFonts w:ascii="Century Gothic" w:eastAsia="Times New Roman" w:hAnsi="Century Gothic" w:cs="Calibri"/>
                <w:sz w:val="24"/>
                <w:szCs w:val="24"/>
                <w:lang w:eastAsia="es-CO"/>
              </w:rPr>
              <w:t xml:space="preserve"> y busca mejorar la tensión </w:t>
            </w:r>
            <w:r w:rsidRPr="00C72EB1">
              <w:rPr>
                <w:rFonts w:ascii="Century Gothic" w:eastAsia="Times New Roman" w:hAnsi="Century Gothic" w:cs="Calibri"/>
                <w:sz w:val="24"/>
                <w:szCs w:val="24"/>
                <w:u w:val="single"/>
                <w:lang w:eastAsia="es-CO"/>
              </w:rPr>
              <w:t>Saber tradicional-conocimiento académico</w:t>
            </w:r>
            <w:r w:rsidRPr="00C72EB1">
              <w:rPr>
                <w:rFonts w:ascii="Century Gothic" w:eastAsia="Times New Roman" w:hAnsi="Century Gothic" w:cs="Calibri"/>
                <w:sz w:val="24"/>
                <w:szCs w:val="24"/>
                <w:lang w:eastAsia="es-CO"/>
              </w:rPr>
              <w:t>.</w:t>
            </w:r>
          </w:p>
          <w:p w:rsidR="00C72EB1" w:rsidRPr="00C72EB1" w:rsidRDefault="00C72EB1" w:rsidP="00C72EB1">
            <w:pPr>
              <w:spacing w:after="0" w:line="240" w:lineRule="auto"/>
              <w:rPr>
                <w:rFonts w:ascii="Century Gothic" w:eastAsia="Times New Roman" w:hAnsi="Century Gothic" w:cs="Calibri"/>
                <w:sz w:val="24"/>
                <w:szCs w:val="24"/>
                <w:lang w:eastAsia="es-CO"/>
              </w:rPr>
            </w:pPr>
          </w:p>
          <w:p w:rsidR="00253639" w:rsidRPr="006D7424" w:rsidRDefault="00C72EB1" w:rsidP="00C72EB1">
            <w:pPr>
              <w:spacing w:after="0" w:line="240" w:lineRule="auto"/>
              <w:rPr>
                <w:rFonts w:ascii="Century Gothic" w:eastAsia="Times New Roman" w:hAnsi="Century Gothic" w:cs="Calibri"/>
                <w:sz w:val="24"/>
                <w:szCs w:val="24"/>
                <w:lang w:eastAsia="es-CO"/>
              </w:rPr>
            </w:pPr>
            <w:r w:rsidRPr="00C72EB1">
              <w:rPr>
                <w:rFonts w:ascii="Century Gothic" w:eastAsia="Times New Roman" w:hAnsi="Century Gothic" w:cs="Calibri"/>
                <w:sz w:val="24"/>
                <w:szCs w:val="24"/>
                <w:lang w:eastAsia="es-CO"/>
              </w:rPr>
              <w:t xml:space="preserve">No es correcta porque el proyecto “Futbol para la </w:t>
            </w:r>
            <w:proofErr w:type="spellStart"/>
            <w:r w:rsidRPr="00C72EB1">
              <w:rPr>
                <w:rFonts w:ascii="Century Gothic" w:eastAsia="Times New Roman" w:hAnsi="Century Gothic" w:cs="Calibri"/>
                <w:sz w:val="24"/>
                <w:szCs w:val="24"/>
                <w:lang w:eastAsia="es-CO"/>
              </w:rPr>
              <w:t>conviviencia</w:t>
            </w:r>
            <w:proofErr w:type="spellEnd"/>
            <w:r w:rsidRPr="00C72EB1">
              <w:rPr>
                <w:rFonts w:ascii="Century Gothic" w:eastAsia="Times New Roman" w:hAnsi="Century Gothic" w:cs="Calibri"/>
                <w:sz w:val="24"/>
                <w:szCs w:val="24"/>
                <w:lang w:eastAsia="es-CO"/>
              </w:rPr>
              <w:t>” pertenece al Subcampo Prácticas Culturales. No es un proyecto que pertenezca a la dimensión protección, porque no es un bien material y no busca mejorar la tensión Saber tradicional-conocimiento académico, pues el proyecto busca mejorar la convivencia ciudadana por medio del futbol.</w:t>
            </w:r>
          </w:p>
        </w:tc>
      </w:tr>
      <w:tr w:rsidR="00253639" w:rsidRPr="006D7424" w:rsidTr="008C3C3E">
        <w:trPr>
          <w:trHeight w:val="26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3639" w:rsidRDefault="00253639" w:rsidP="008C3C3E">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C72EB1" w:rsidRPr="00C72EB1" w:rsidRDefault="00253639" w:rsidP="00C72EB1">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u w:val="single"/>
                <w:lang w:eastAsia="es-CO"/>
              </w:rPr>
              <w:br/>
            </w:r>
            <w:r w:rsidR="00C72EB1" w:rsidRPr="00C72EB1">
              <w:rPr>
                <w:rFonts w:ascii="Century Gothic" w:eastAsia="Times New Roman" w:hAnsi="Century Gothic" w:cs="Calibri"/>
                <w:color w:val="000000"/>
                <w:sz w:val="24"/>
                <w:szCs w:val="24"/>
                <w:lang w:eastAsia="es-CO"/>
              </w:rPr>
              <w:t>d.</w:t>
            </w:r>
            <w:r w:rsidR="00C72EB1" w:rsidRPr="00C72EB1">
              <w:rPr>
                <w:rFonts w:ascii="Century Gothic" w:eastAsia="Times New Roman" w:hAnsi="Century Gothic" w:cs="Calibri"/>
                <w:color w:val="000000"/>
                <w:sz w:val="24"/>
                <w:szCs w:val="24"/>
                <w:lang w:eastAsia="es-CO"/>
              </w:rPr>
              <w:tab/>
              <w:t xml:space="preserve">El proyecto “Futbol para la convivencia” pertenece al </w:t>
            </w:r>
            <w:r w:rsidR="00C72EB1" w:rsidRPr="00613D39">
              <w:rPr>
                <w:rFonts w:ascii="Century Gothic" w:eastAsia="Times New Roman" w:hAnsi="Century Gothic" w:cs="Calibri"/>
                <w:color w:val="000000"/>
                <w:sz w:val="24"/>
                <w:szCs w:val="24"/>
                <w:u w:val="single"/>
                <w:lang w:eastAsia="es-CO"/>
              </w:rPr>
              <w:t>Subcampo Prácticas Culturales</w:t>
            </w:r>
            <w:r w:rsidR="00C72EB1" w:rsidRPr="00C72EB1">
              <w:rPr>
                <w:rFonts w:ascii="Century Gothic" w:eastAsia="Times New Roman" w:hAnsi="Century Gothic" w:cs="Calibri"/>
                <w:color w:val="000000"/>
                <w:sz w:val="24"/>
                <w:szCs w:val="24"/>
                <w:lang w:eastAsia="es-CO"/>
              </w:rPr>
              <w:t xml:space="preserve">, dimensión </w:t>
            </w:r>
            <w:r w:rsidR="00C72EB1" w:rsidRPr="00613D39">
              <w:rPr>
                <w:rFonts w:ascii="Century Gothic" w:eastAsia="Times New Roman" w:hAnsi="Century Gothic" w:cs="Calibri"/>
                <w:color w:val="000000"/>
                <w:sz w:val="24"/>
                <w:szCs w:val="24"/>
                <w:u w:val="single"/>
                <w:lang w:eastAsia="es-CO"/>
              </w:rPr>
              <w:t>Apropiación</w:t>
            </w:r>
            <w:r w:rsidR="00C72EB1" w:rsidRPr="00C72EB1">
              <w:rPr>
                <w:rFonts w:ascii="Century Gothic" w:eastAsia="Times New Roman" w:hAnsi="Century Gothic" w:cs="Calibri"/>
                <w:color w:val="000000"/>
                <w:sz w:val="24"/>
                <w:szCs w:val="24"/>
                <w:lang w:eastAsia="es-CO"/>
              </w:rPr>
              <w:t xml:space="preserve"> y busca mejorar la tensión </w:t>
            </w:r>
            <w:r w:rsidR="00C72EB1" w:rsidRPr="00613D39">
              <w:rPr>
                <w:rFonts w:ascii="Century Gothic" w:eastAsia="Times New Roman" w:hAnsi="Century Gothic" w:cs="Calibri"/>
                <w:color w:val="000000"/>
                <w:sz w:val="24"/>
                <w:szCs w:val="24"/>
                <w:u w:val="single"/>
                <w:lang w:eastAsia="es-CO"/>
              </w:rPr>
              <w:t>Discriminación-reconocimiento</w:t>
            </w:r>
            <w:r w:rsidR="00613D39">
              <w:rPr>
                <w:rFonts w:ascii="Century Gothic" w:eastAsia="Times New Roman" w:hAnsi="Century Gothic" w:cs="Calibri"/>
                <w:color w:val="000000"/>
                <w:sz w:val="24"/>
                <w:szCs w:val="24"/>
                <w:u w:val="single"/>
                <w:lang w:eastAsia="es-CO"/>
              </w:rPr>
              <w:t>.</w:t>
            </w:r>
          </w:p>
          <w:p w:rsidR="00253639" w:rsidRPr="006D7424" w:rsidRDefault="00C72EB1" w:rsidP="00C72EB1">
            <w:pPr>
              <w:spacing w:after="0" w:line="240" w:lineRule="auto"/>
              <w:rPr>
                <w:rFonts w:ascii="Century Gothic" w:eastAsia="Times New Roman" w:hAnsi="Century Gothic" w:cs="Calibri"/>
                <w:b/>
                <w:bCs/>
                <w:color w:val="000000"/>
                <w:sz w:val="24"/>
                <w:szCs w:val="24"/>
                <w:lang w:eastAsia="es-CO"/>
              </w:rPr>
            </w:pPr>
            <w:r w:rsidRPr="00C72EB1">
              <w:rPr>
                <w:rFonts w:ascii="Century Gothic" w:eastAsia="Times New Roman" w:hAnsi="Century Gothic" w:cs="Calibri"/>
                <w:color w:val="000000"/>
                <w:sz w:val="24"/>
                <w:szCs w:val="24"/>
                <w:lang w:eastAsia="es-CO"/>
              </w:rPr>
              <w:t>Es una práctica cultural el futbol que sirve para desarrollar apropiación y busca mejorar las condiciones de discriminación y violencia, para lograr procesos de reconocimiento.</w:t>
            </w:r>
          </w:p>
        </w:tc>
      </w:tr>
      <w:tr w:rsidR="00253639" w:rsidRPr="006D7424" w:rsidTr="008C3C3E">
        <w:trPr>
          <w:trHeight w:val="22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53639" w:rsidRDefault="00253639" w:rsidP="008C3C3E">
            <w:pPr>
              <w:spacing w:after="0" w:line="240" w:lineRule="auto"/>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ESPECIFICACIONES DE DISEÑO: DIBUJOS, ECUACIONES Y / O GRÁFICOS</w:t>
            </w:r>
            <w:r>
              <w:rPr>
                <w:rFonts w:ascii="Century Gothic" w:eastAsia="Times New Roman" w:hAnsi="Century Gothic" w:cs="Calibri"/>
                <w:color w:val="000000"/>
                <w:sz w:val="24"/>
                <w:szCs w:val="24"/>
                <w:lang w:eastAsia="es-CO"/>
              </w:rPr>
              <w:t>:</w:t>
            </w:r>
          </w:p>
          <w:p w:rsidR="00253639" w:rsidRDefault="00253639" w:rsidP="008C3C3E">
            <w:pPr>
              <w:spacing w:after="0" w:line="240" w:lineRule="auto"/>
              <w:rPr>
                <w:rFonts w:ascii="Century Gothic" w:eastAsia="Times New Roman" w:hAnsi="Century Gothic" w:cs="Calibri"/>
                <w:color w:val="000000"/>
                <w:sz w:val="24"/>
                <w:szCs w:val="24"/>
                <w:lang w:eastAsia="es-CO"/>
              </w:rPr>
            </w:pPr>
          </w:p>
          <w:p w:rsidR="00253639" w:rsidRPr="006D7424" w:rsidRDefault="00253639" w:rsidP="008C3C3E">
            <w:pPr>
              <w:spacing w:after="0" w:line="240" w:lineRule="auto"/>
              <w:rPr>
                <w:rFonts w:ascii="Century Gothic" w:eastAsia="Times New Roman" w:hAnsi="Century Gothic" w:cs="Calibri"/>
                <w:b/>
                <w:bCs/>
                <w:color w:val="000000"/>
                <w:sz w:val="24"/>
                <w:szCs w:val="24"/>
                <w:lang w:eastAsia="es-CO"/>
              </w:rPr>
            </w:pPr>
          </w:p>
        </w:tc>
      </w:tr>
    </w:tbl>
    <w:p w:rsidR="00253639" w:rsidRDefault="00253639"/>
    <w:sectPr w:rsidR="002536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DA0"/>
    <w:multiLevelType w:val="hybridMultilevel"/>
    <w:tmpl w:val="C33084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11722B"/>
    <w:multiLevelType w:val="multilevel"/>
    <w:tmpl w:val="4178E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843"/>
    <w:rsid w:val="0003294C"/>
    <w:rsid w:val="00096408"/>
    <w:rsid w:val="00253639"/>
    <w:rsid w:val="00450843"/>
    <w:rsid w:val="005758AB"/>
    <w:rsid w:val="005D2467"/>
    <w:rsid w:val="005E777F"/>
    <w:rsid w:val="00613D39"/>
    <w:rsid w:val="00642272"/>
    <w:rsid w:val="00814399"/>
    <w:rsid w:val="008C2183"/>
    <w:rsid w:val="008C270C"/>
    <w:rsid w:val="00951DC3"/>
    <w:rsid w:val="00A559D9"/>
    <w:rsid w:val="00C72EB1"/>
    <w:rsid w:val="00CF3B3D"/>
    <w:rsid w:val="00D16184"/>
    <w:rsid w:val="00E673EF"/>
    <w:rsid w:val="00F155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C026"/>
  <w15:chartTrackingRefBased/>
  <w15:docId w15:val="{25FCBCFF-0024-4973-8E99-AF616FB1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43"/>
    <w:pPr>
      <w:spacing w:after="200" w:line="276" w:lineRule="auto"/>
    </w:pPr>
  </w:style>
  <w:style w:type="paragraph" w:styleId="Ttulo1">
    <w:name w:val="heading 1"/>
    <w:basedOn w:val="Normal"/>
    <w:link w:val="Ttulo1Car"/>
    <w:uiPriority w:val="9"/>
    <w:qFormat/>
    <w:rsid w:val="004508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0843"/>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unhideWhenUsed/>
    <w:rsid w:val="004508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50843"/>
    <w:rPr>
      <w:color w:val="0563C1" w:themeColor="hyperlink"/>
      <w:u w:val="single"/>
    </w:rPr>
  </w:style>
  <w:style w:type="paragraph" w:styleId="Prrafodelista">
    <w:name w:val="List Paragraph"/>
    <w:basedOn w:val="Normal"/>
    <w:uiPriority w:val="34"/>
    <w:qFormat/>
    <w:rsid w:val="00450843"/>
    <w:pPr>
      <w:ind w:left="720"/>
      <w:contextualSpacing/>
    </w:pPr>
  </w:style>
  <w:style w:type="character" w:styleId="Mencinsinresolver">
    <w:name w:val="Unresolved Mention"/>
    <w:basedOn w:val="Fuentedeprrafopredeter"/>
    <w:uiPriority w:val="99"/>
    <w:semiHidden/>
    <w:unhideWhenUsed/>
    <w:rsid w:val="005E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biernobogota.gov.co/prensa/93-noticias/1079-deporte-y-cultura-herramientas-para-la-inclusion-y-la-construccion-de-la-paz-en-bogot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ERNESTO CEDIEL NEIRA</dc:creator>
  <cp:keywords/>
  <dc:description/>
  <cp:lastModifiedBy>STEPHANY  PINZON HERNANDEZ</cp:lastModifiedBy>
  <cp:revision>10</cp:revision>
  <dcterms:created xsi:type="dcterms:W3CDTF">2021-09-15T20:56:00Z</dcterms:created>
  <dcterms:modified xsi:type="dcterms:W3CDTF">2021-09-15T21:11:00Z</dcterms:modified>
</cp:coreProperties>
</file>